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2">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3">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after="160" w:line="259"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ANEXO TÉCNICO</w:t>
      </w:r>
    </w:p>
    <w:p w:rsidR="00000000" w:rsidDel="00000000" w:rsidP="00000000" w:rsidRDefault="00000000" w:rsidRPr="00000000" w14:paraId="00000005">
      <w:pPr>
        <w:spacing w:after="160" w:line="259"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SISTEMA NACIONAL DE INVENTARIOS DE GASES DE EFECTO INVERNADERO - SINGEI</w:t>
      </w:r>
    </w:p>
    <w:p w:rsidR="00000000" w:rsidDel="00000000" w:rsidP="00000000" w:rsidRDefault="00000000" w:rsidRPr="00000000" w14:paraId="00000006">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7">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9">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A">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B">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C">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D">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spacing w:after="1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Proyecto Creación de Capacidades para la Transparencia (CBIT): “Visión Estratégica MRV 2030 de Colombia”</w:t>
      </w:r>
    </w:p>
    <w:p w:rsidR="00000000" w:rsidDel="00000000" w:rsidP="00000000" w:rsidRDefault="00000000" w:rsidRPr="00000000" w14:paraId="0000000F">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0">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1">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2">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3">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4">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5">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6">
      <w:pPr>
        <w:spacing w:after="160" w:line="259"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after="1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GRUPO CAMBIO GLOBAL</w:t>
      </w:r>
    </w:p>
    <w:p w:rsidR="00000000" w:rsidDel="00000000" w:rsidP="00000000" w:rsidRDefault="00000000" w:rsidRPr="00000000" w14:paraId="00000018">
      <w:pPr>
        <w:spacing w:after="1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SUBDIRECCIÓN DE ESTUDIOS AMBIENTALES</w:t>
      </w:r>
    </w:p>
    <w:p w:rsidR="00000000" w:rsidDel="00000000" w:rsidP="00000000" w:rsidRDefault="00000000" w:rsidRPr="00000000" w14:paraId="00000019">
      <w:pPr>
        <w:spacing w:after="160" w:line="259"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INSTITUTO DE HIDROLOGÍA, METEOROLOGÍA Y ESTUDIOS AMBIENTALES – IDEAM</w:t>
      </w:r>
    </w:p>
    <w:p w:rsidR="00000000" w:rsidDel="00000000" w:rsidP="00000000" w:rsidRDefault="00000000" w:rsidRPr="00000000" w14:paraId="0000001A">
      <w:pPr>
        <w:spacing w:after="160" w:line="259" w:lineRule="auto"/>
        <w:jc w:val="center"/>
        <w:rPr>
          <w:rFonts w:ascii="Arial" w:cs="Arial" w:eastAsia="Arial" w:hAnsi="Arial"/>
          <w:b w:val="1"/>
          <w:sz w:val="22"/>
          <w:szCs w:val="22"/>
        </w:rPr>
        <w:sectPr>
          <w:headerReference r:id="rId8" w:type="default"/>
          <w:pgSz w:h="15840" w:w="12240" w:orient="portrait"/>
          <w:pgMar w:bottom="1417" w:top="1417" w:left="1701" w:right="1701" w:header="708" w:footer="708"/>
          <w:pgNumType w:start="1"/>
        </w:sectPr>
      </w:pPr>
      <w:r w:rsidDel="00000000" w:rsidR="00000000" w:rsidRPr="00000000">
        <w:rPr>
          <w:rFonts w:ascii="Arial" w:cs="Arial" w:eastAsia="Arial" w:hAnsi="Arial"/>
          <w:b w:val="1"/>
          <w:sz w:val="22"/>
          <w:szCs w:val="22"/>
          <w:rtl w:val="0"/>
        </w:rPr>
        <w:t xml:space="preserve">Bogotá D.C., 2022</w:t>
      </w:r>
    </w:p>
    <w:p w:rsidR="00000000" w:rsidDel="00000000" w:rsidP="00000000" w:rsidRDefault="00000000" w:rsidRPr="00000000" w14:paraId="0000001B">
      <w:pPr>
        <w:keepNext w:val="1"/>
        <w:keepLines w:val="1"/>
        <w:pBdr>
          <w:top w:space="0" w:sz="0" w:val="nil"/>
          <w:left w:space="0" w:sz="0" w:val="nil"/>
          <w:bottom w:space="0" w:sz="0" w:val="nil"/>
          <w:right w:space="0" w:sz="0" w:val="nil"/>
          <w:between w:space="0" w:sz="0" w:val="nil"/>
        </w:pBdr>
        <w:spacing w:before="240" w:line="259" w:lineRule="auto"/>
        <w:rPr>
          <w:rFonts w:ascii="Arial" w:cs="Arial" w:eastAsia="Arial" w:hAnsi="Arial"/>
          <w:color w:val="2f5496"/>
          <w:sz w:val="22"/>
          <w:szCs w:val="22"/>
        </w:rPr>
      </w:pPr>
      <w:r w:rsidDel="00000000" w:rsidR="00000000" w:rsidRPr="00000000">
        <w:rPr>
          <w:rFonts w:ascii="Arial" w:cs="Arial" w:eastAsia="Arial" w:hAnsi="Arial"/>
          <w:color w:val="2f5496"/>
          <w:sz w:val="32"/>
          <w:szCs w:val="32"/>
          <w:rtl w:val="0"/>
        </w:rPr>
        <w:t xml:space="preserve">Contenido</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5nkun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INTRODUCCIÓN</w:t>
              <w:tab/>
              <w:t xml:space="preserve">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1.</w:t>
            </w:r>
          </w:hyperlink>
          <w:hyperlink w:anchor="_heading=h.44sinio">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INVENTARIO NACIONAL DE GASES DE EFECTO INVERNADERO - INGEI</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1.1.</w:t>
            </w:r>
          </w:hyperlink>
          <w:hyperlink w:anchor="_heading=h.2jxsxqh">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Preparación del inventario</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1.2.</w:t>
            </w:r>
          </w:hyperlink>
          <w:hyperlink w:anchor="_heading=h.46r0co2">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Metodología</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w:t>
            </w:r>
          </w:hyperlink>
          <w:hyperlink w:anchor="_heading=h.2lwamvv">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REQUERIMIENTOS FUNCIONALES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2.1.</w:t>
            </w:r>
          </w:hyperlink>
          <w:hyperlink w:anchor="_heading=h.111kx3o">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Roles, usuarios y permisos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2.2.</w:t>
            </w:r>
          </w:hyperlink>
          <w:hyperlink w:anchor="_heading=h.4k668n3">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Proveedores finales de datos de actividad por categoría (IPCC o EMEP/EEA 2019)</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2.3.</w:t>
            </w:r>
          </w:hyperlink>
          <w:hyperlink w:anchor="_heading=h.2zbgiuw">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Diagrama de flujo de trabajo del sistema</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2.4.</w:t>
            </w:r>
          </w:hyperlink>
          <w:hyperlink w:anchor="_heading=h.1664s55">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Formatos/plantillas de registro de Datos de actividad</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n2mh615na8u7">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2.5.</w:t>
            </w:r>
          </w:hyperlink>
          <w:hyperlink w:anchor="_heading=h.n2mh615na8u7">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_heading=h.n2mh615na8u7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Datos de referencia</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2.6.</w:t>
            </w:r>
          </w:hyperlink>
          <w:hyperlink w:anchor="_heading=h.43ky6rz">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Migración de datos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w:t>
            </w:r>
          </w:hyperlink>
          <w:hyperlink w:anchor="_heading=h.xvir7l">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REQUERIMIENTOS NO FUNCIONALES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3.1.</w:t>
            </w:r>
          </w:hyperlink>
          <w:hyperlink w:anchor="_heading=h.3hv69ve">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Sistema</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3.2.</w:t>
            </w:r>
          </w:hyperlink>
          <w:hyperlink w:anchor="_heading=h.1x0gk37">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Datos</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3.3.</w:t>
            </w:r>
          </w:hyperlink>
          <w:hyperlink w:anchor="_heading=h.2w5ecyt">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Seguridad</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3.4.</w:t>
            </w:r>
          </w:hyperlink>
          <w:hyperlink w:anchor="_heading=h.1baon6m">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Reportes Operacionales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3.5.</w:t>
            </w:r>
          </w:hyperlink>
          <w:hyperlink w:anchor="_heading=h.3vac5uf">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Gestión de cambios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w:t>
            </w:r>
          </w:hyperlink>
          <w:hyperlink w:anchor="_heading=h.1opuj5n">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VISIÓN FUTURA - DISEÑO SINGEI</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4.1.</w:t>
            </w:r>
          </w:hyperlink>
          <w:hyperlink w:anchor="_heading=h.48pi1tg">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Interoperabilidad</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4.2.</w:t>
            </w:r>
          </w:hyperlink>
          <w:hyperlink w:anchor="_heading=h.2nusc19">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Diseño de sistema flexible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4.3.</w:t>
            </w:r>
          </w:hyperlink>
          <w:hyperlink w:anchor="_heading=h.1302m92">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Volumen de datos</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4.4.</w:t>
            </w:r>
          </w:hyperlink>
          <w:hyperlink w:anchor="_heading=h.3mzq4wv">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Opciones de almacenamiento</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4.5.</w:t>
            </w:r>
          </w:hyperlink>
          <w:hyperlink w:anchor="_heading=h.2250f4o">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Requisitos de móvil/navegador</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4.6.</w:t>
            </w:r>
          </w:hyperlink>
          <w:hyperlink w:anchor="_heading=h.haapch">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Proceso de negocio</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4.7.</w:t>
            </w:r>
          </w:hyperlink>
          <w:hyperlink w:anchor="_heading=h.319y80a">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Propuesta de Arquitectura del sistema</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8828"/>
            </w:tabs>
            <w:spacing w:after="100" w:before="0" w:line="240" w:lineRule="auto"/>
            <w:ind w:left="240" w:right="0" w:firstLine="0"/>
            <w:jc w:val="left"/>
            <w:rPr>
              <w:rFonts w:ascii="Arial" w:cs="Arial" w:eastAsia="Arial" w:hAnsi="Arial"/>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4.8.</w:t>
            </w:r>
          </w:hyperlink>
          <w:hyperlink w:anchor="_heading=h.3ep43zb">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_heading=h.3ep43zb \h </w:instrText>
            <w:fldChar w:fldCharType="separate"/>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Componentes/servidores claves en la arquitectura</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ANEXO 1</w:t>
              <w:tab/>
              <w:t xml:space="preserve">36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Bibliografía</w:t>
            </w:r>
          </w:hyperlink>
          <w:hyperlink w:anchor="_heading=h.279ka6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8828"/>
            </w:tabs>
            <w:spacing w:after="10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spacing w:after="160" w:line="259" w:lineRule="auto"/>
        <w:jc w:val="both"/>
        <w:rPr>
          <w:rFonts w:ascii="Arial" w:cs="Arial" w:eastAsia="Arial" w:hAnsi="Arial"/>
          <w:sz w:val="22"/>
          <w:szCs w:val="22"/>
        </w:rPr>
        <w:sectPr>
          <w:type w:val="nextPage"/>
          <w:pgSz w:h="15840" w:w="1224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03A">
      <w:pPr>
        <w:pStyle w:val="Heading1"/>
        <w:rPr/>
      </w:pPr>
      <w:bookmarkStart w:colFirst="0" w:colLast="0" w:name="_heading=h.35nkun2" w:id="0"/>
      <w:bookmarkEnd w:id="0"/>
      <w:r w:rsidDel="00000000" w:rsidR="00000000" w:rsidRPr="00000000">
        <w:rPr>
          <w:rtl w:val="0"/>
        </w:rPr>
        <w:t xml:space="preserve">INTRODUCCIÓN</w:t>
      </w:r>
    </w:p>
    <w:p w:rsidR="00000000" w:rsidDel="00000000" w:rsidP="00000000" w:rsidRDefault="00000000" w:rsidRPr="00000000" w14:paraId="0000003B">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el fin de dar cumplimiento a los compromisos internacionales adquiridos por el país ante la Convención Marco de Naciones Unidas sobre Cambio Climático (CMNUCC), se hace necesario el desarrollo de una plataforma que soporte el Sistema Nacional de Inventarios de Gases de Efecto Invernadero (SINGEI). El SINGEI debe centralizar la recolección y procesamiento de la información para la estimación y proyección de GEI y emisiones de carbono negro y contaminantes atmosféricos, facilitando la elaboración de los Reportes Bienales de Transparencia (BTR), Comunicaciones Nacionales de Cambio Climático y los demás informes nacionales, sectoriales y departamentales que se requieran con respecto a los GEI y carbono negro en el país. </w:t>
      </w:r>
    </w:p>
    <w:p w:rsidR="00000000" w:rsidDel="00000000" w:rsidP="00000000" w:rsidRDefault="00000000" w:rsidRPr="00000000" w14:paraId="0000003C">
      <w:pPr>
        <w:spacing w:after="1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SINGEI será diseñado de acuerdo con las directrices del Grupo Intergubernamental de Expertos sobre el Cambio Climático-IPCC 2006 y sus refinamientos 2019, y para el Inventario de Carbono Negro y otros contaminantes atmosféricos los lineamientos establecidos en la Guía técnica para la elaboración de inventario de emisiones de contaminantes atmosféricos conjunta EMEP/EEA 2019. Además, el sistema servirá como una fuente de información oficial del país, supliendo diversas necesidades de información para la investigación, la generación de conocimiento y la toma de decisión en política pública.</w:t>
      </w:r>
    </w:p>
    <w:p w:rsidR="00000000" w:rsidDel="00000000" w:rsidP="00000000" w:rsidRDefault="00000000" w:rsidRPr="00000000" w14:paraId="0000003D">
      <w:pPr>
        <w:spacing w:after="1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2017 el equipo técnico del IDEAM desarrolló la primera conceptualización del SINGEI, la cual está conformada por múltiples protocolos, bases de datos y hojas de cálculo usadas en el desarrollo del INGEI. Posteriormente, en 2018 el equipo del proyecto RALI de USAID desarrolló un prototipo de la plataforma, incluyendo la definición de “Especificaciones de diseño y requerimientos de software SINGEI”. Estos documentos fueron la base para la actualización del marco conceptual del SINGEI realizada en el año 2020, la cual se encuentra en proceso de ajuste por parte del equipo técnico del INGEI, de acuerdo con los avances realizados en el Tercer Informe Bienal de Actualización del año 2021 (BUR3, por sus siglas en inglés), y los refinamientos IPCC 2019 a incorporar en el próximo BTR.</w:t>
      </w:r>
    </w:p>
    <w:p w:rsidR="00000000" w:rsidDel="00000000" w:rsidP="00000000" w:rsidRDefault="00000000" w:rsidRPr="00000000" w14:paraId="0000003E">
      <w:pPr>
        <w:spacing w:after="1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marco conceptual del SINGEI provee un conjunto de requisitos de uso que describen cómo los usuarios interactuarán con la plataforma, y las características y funcionalidades que proveerá el sistema para desarrollar las actividades involucradas en la estimación del INGEI y del Inventario de Carbono Negro y otros contaminantes atmosféricos. El diseño entregado incorpora el proceso actual de recolección y procesamiento de datos llevado a cabo en el BUR3. No obstante, el SINGEI se contempla como una plataforma flexible y adaptable, que permita parametrizar criterios y procedimientos de cálculo dentro del sistema, de tal manera que los cambios metodológicos se incorporen de manera oportuna. </w:t>
      </w:r>
    </w:p>
    <w:p w:rsidR="00000000" w:rsidDel="00000000" w:rsidP="00000000" w:rsidRDefault="00000000" w:rsidRPr="00000000" w14:paraId="0000003F">
      <w:pPr>
        <w:spacing w:after="1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presente documento describe de manera general el estado actual del marco conceptual del SINGEI, incluyendo los principales requerimientos funcionales y no funcionales, los insumos para la estimación del inventario nacional, y algunas consideraciones generales. El diseño del SINGEI se ha enfocado en consolidar una herramienta que logre satisfacer las necesidades de procesamiento, almacenamiento, trazabilidad, control y aseguramiento de la calidad, entre otros, necesarios para generar la información de emisiones y sumideros de GEI en el país.</w:t>
      </w:r>
    </w:p>
    <w:p w:rsidR="00000000" w:rsidDel="00000000" w:rsidP="00000000" w:rsidRDefault="00000000" w:rsidRPr="00000000" w14:paraId="00000040">
      <w:pPr>
        <w:spacing w:after="1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Todos los requerimientos descritos en el presente anexo técnico están sujetos de actualización, mejora y/o ajuste, de acuerdo con las necesidades que serán identificadas junto al equipo técnico.</w:t>
      </w:r>
    </w:p>
    <w:p w:rsidR="00000000" w:rsidDel="00000000" w:rsidP="00000000" w:rsidRDefault="00000000" w:rsidRPr="00000000" w14:paraId="00000041">
      <w:pPr>
        <w:pStyle w:val="Heading1"/>
        <w:numPr>
          <w:ilvl w:val="0"/>
          <w:numId w:val="18"/>
        </w:numPr>
        <w:ind w:left="720" w:hanging="360"/>
        <w:jc w:val="both"/>
        <w:rPr/>
      </w:pPr>
      <w:bookmarkStart w:colFirst="0" w:colLast="0" w:name="_heading=h.44sinio" w:id="1"/>
      <w:bookmarkEnd w:id="1"/>
      <w:r w:rsidDel="00000000" w:rsidR="00000000" w:rsidRPr="00000000">
        <w:rPr>
          <w:rtl w:val="0"/>
        </w:rPr>
        <w:t xml:space="preserve">INVENTARIO NACIONAL DE GASES DE EFECTO INVERNADERO - INGEI</w:t>
      </w:r>
    </w:p>
    <w:p w:rsidR="00000000" w:rsidDel="00000000" w:rsidP="00000000" w:rsidRDefault="00000000" w:rsidRPr="00000000" w14:paraId="000000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artículo 4 de la Convención Marco de las Naciones Unidas sobre el Cambio Climático (CMNUCC) expresa que las Partes deben “elaborar, actualizar periódicamente, publicar y facilitar a la Conferencia de las Partes, de conformidad con el artículo 12, los inventarios nacionales de las emisiones antropógenas por las fuentes y de la absorción por los sumideros de todos los gases de efecto invernadero no controlados por el Protocolo de Montreal, utilizando metodologías comparables que habrán de ser acordadas por la Conferencia de las Partes”. Adicionalmente, la Conferencia de las Partes 16 (COP16) establece que los países deben entregar a la CMNUCC Informes Bienales de Actualización (BUR) con información actualizada sobre los inventarios nacionales de gases de efecto invernadero (en adelante, INGEI).</w:t>
      </w:r>
    </w:p>
    <w:p w:rsidR="00000000" w:rsidDel="00000000" w:rsidP="00000000" w:rsidRDefault="00000000" w:rsidRPr="00000000" w14:paraId="000000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Dando cumplimiento a las anteriores disposiciones, Colombia, en el marco de Comunicaciones Nacionales e Informes Bienales de Actualización (BUR) de cambio climático, ha presentado ante la CMNUCC los INGEI, contemplando varias actualizaciones como se presenta en la Tabla 1-1.</w:t>
      </w:r>
    </w:p>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1-1. Reportes e inventarios nacionales de GEI de Colombia entregados a la CMNUCC</w:t>
      </w:r>
    </w:p>
    <w:tbl>
      <w:tblPr>
        <w:tblStyle w:val="Table1"/>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993"/>
        <w:gridCol w:w="4438"/>
        <w:tblGridChange w:id="0">
          <w:tblGrid>
            <w:gridCol w:w="3397"/>
            <w:gridCol w:w="993"/>
            <w:gridCol w:w="4438"/>
          </w:tblGrid>
        </w:tblGridChange>
      </w:tblGrid>
      <w:tr>
        <w:trPr>
          <w:cantSplit w:val="0"/>
          <w:tblHeader w:val="0"/>
        </w:trPr>
        <w:tc>
          <w:tcPr/>
          <w:p w:rsidR="00000000" w:rsidDel="00000000" w:rsidP="00000000" w:rsidRDefault="00000000" w:rsidRPr="00000000" w14:paraId="00000048">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Reporte</w:t>
            </w:r>
          </w:p>
        </w:tc>
        <w:tc>
          <w:tcPr/>
          <w:p w:rsidR="00000000" w:rsidDel="00000000" w:rsidP="00000000" w:rsidRDefault="00000000" w:rsidRPr="00000000" w14:paraId="00000049">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 de envío </w:t>
            </w:r>
          </w:p>
        </w:tc>
        <w:tc>
          <w:tcPr/>
          <w:p w:rsidR="00000000" w:rsidDel="00000000" w:rsidP="00000000" w:rsidRDefault="00000000" w:rsidRPr="00000000" w14:paraId="0000004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Años del INGEI presentado</w:t>
            </w:r>
          </w:p>
        </w:tc>
      </w:tr>
      <w:tr>
        <w:trPr>
          <w:cantSplit w:val="0"/>
          <w:tblHeader w:val="0"/>
        </w:trPr>
        <w:tc>
          <w:tcPr/>
          <w:p w:rsidR="00000000" w:rsidDel="00000000" w:rsidP="00000000" w:rsidRDefault="00000000" w:rsidRPr="00000000" w14:paraId="0000004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Primera Comunicación Nacional (PCN)</w:t>
            </w:r>
          </w:p>
        </w:tc>
        <w:tc>
          <w:tcPr/>
          <w:p w:rsidR="00000000" w:rsidDel="00000000" w:rsidP="00000000" w:rsidRDefault="00000000" w:rsidRPr="00000000" w14:paraId="0000004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2001</w:t>
            </w:r>
          </w:p>
        </w:tc>
        <w:tc>
          <w:tcPr/>
          <w:p w:rsidR="00000000" w:rsidDel="00000000" w:rsidP="00000000" w:rsidRDefault="00000000" w:rsidRPr="00000000" w14:paraId="0000004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1990 y 1994</w:t>
            </w:r>
          </w:p>
        </w:tc>
      </w:tr>
      <w:tr>
        <w:trPr>
          <w:cantSplit w:val="0"/>
          <w:tblHeader w:val="0"/>
        </w:trPr>
        <w:tc>
          <w:tcPr/>
          <w:p w:rsidR="00000000" w:rsidDel="00000000" w:rsidP="00000000" w:rsidRDefault="00000000" w:rsidRPr="00000000" w14:paraId="0000004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Segunda Comunicación Nacional (SCN)</w:t>
            </w:r>
          </w:p>
        </w:tc>
        <w:tc>
          <w:tcPr/>
          <w:p w:rsidR="00000000" w:rsidDel="00000000" w:rsidP="00000000" w:rsidRDefault="00000000" w:rsidRPr="00000000" w14:paraId="0000004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2010</w:t>
            </w:r>
          </w:p>
        </w:tc>
        <w:tc>
          <w:tcPr/>
          <w:p w:rsidR="00000000" w:rsidDel="00000000" w:rsidP="00000000" w:rsidRDefault="00000000" w:rsidRPr="00000000" w14:paraId="0000005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2000 y 2004</w:t>
            </w:r>
          </w:p>
        </w:tc>
      </w:tr>
      <w:tr>
        <w:trPr>
          <w:cantSplit w:val="0"/>
          <w:tblHeader w:val="0"/>
        </w:trPr>
        <w:tc>
          <w:tcPr/>
          <w:p w:rsidR="00000000" w:rsidDel="00000000" w:rsidP="00000000" w:rsidRDefault="00000000" w:rsidRPr="00000000" w14:paraId="0000005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Primer Informe Bienal de Actualización (BUR1)</w:t>
            </w:r>
          </w:p>
        </w:tc>
        <w:tc>
          <w:tcPr/>
          <w:p w:rsidR="00000000" w:rsidDel="00000000" w:rsidP="00000000" w:rsidRDefault="00000000" w:rsidRPr="00000000" w14:paraId="0000005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2015</w:t>
            </w:r>
          </w:p>
        </w:tc>
        <w:tc>
          <w:tcPr/>
          <w:p w:rsidR="00000000" w:rsidDel="00000000" w:rsidP="00000000" w:rsidRDefault="00000000" w:rsidRPr="00000000" w14:paraId="0000005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Actualización de los inventarios de los años 1990, 1994, 2000 y 2004 y estimación del inventario para los años 2010 - 2012</w:t>
            </w:r>
          </w:p>
        </w:tc>
      </w:tr>
      <w:tr>
        <w:trPr>
          <w:cantSplit w:val="0"/>
          <w:tblHeader w:val="0"/>
        </w:trPr>
        <w:tc>
          <w:tcPr/>
          <w:p w:rsidR="00000000" w:rsidDel="00000000" w:rsidP="00000000" w:rsidRDefault="00000000" w:rsidRPr="00000000" w14:paraId="0000005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Tercera Comunicación Nacional (TCN)</w:t>
            </w:r>
          </w:p>
        </w:tc>
        <w:tc>
          <w:tcPr/>
          <w:p w:rsidR="00000000" w:rsidDel="00000000" w:rsidP="00000000" w:rsidRDefault="00000000" w:rsidRPr="00000000" w14:paraId="0000005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2017</w:t>
            </w:r>
          </w:p>
        </w:tc>
        <w:tc>
          <w:tcPr/>
          <w:p w:rsidR="00000000" w:rsidDel="00000000" w:rsidP="00000000" w:rsidRDefault="00000000" w:rsidRPr="00000000" w14:paraId="0000005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Inventarios anuales para la serie de tiempo de 1990 a 2012, incluyendo actualización de los 6 inventarios presentados previamente</w:t>
            </w:r>
          </w:p>
        </w:tc>
      </w:tr>
      <w:tr>
        <w:trPr>
          <w:cantSplit w:val="0"/>
          <w:tblHeader w:val="0"/>
        </w:trPr>
        <w:tc>
          <w:tcPr/>
          <w:p w:rsidR="00000000" w:rsidDel="00000000" w:rsidP="00000000" w:rsidRDefault="00000000" w:rsidRPr="00000000" w14:paraId="0000005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Segundo Informe Bienal de Actualización (BUR2)</w:t>
            </w:r>
          </w:p>
        </w:tc>
        <w:tc>
          <w:tcPr/>
          <w:p w:rsidR="00000000" w:rsidDel="00000000" w:rsidP="00000000" w:rsidRDefault="00000000" w:rsidRPr="00000000" w14:paraId="0000005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2018</w:t>
            </w:r>
          </w:p>
        </w:tc>
        <w:tc>
          <w:tcPr/>
          <w:p w:rsidR="00000000" w:rsidDel="00000000" w:rsidP="00000000" w:rsidRDefault="00000000" w:rsidRPr="00000000" w14:paraId="0000005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Actualización de los inventarios para la serie de tiempo 1990 – 2012 y estimación del inventario para los años 2013 y 2014</w:t>
            </w:r>
          </w:p>
        </w:tc>
      </w:tr>
      <w:tr>
        <w:trPr>
          <w:cantSplit w:val="0"/>
          <w:tblHeader w:val="0"/>
        </w:trPr>
        <w:tc>
          <w:tcPr/>
          <w:p w:rsidR="00000000" w:rsidDel="00000000" w:rsidP="00000000" w:rsidRDefault="00000000" w:rsidRPr="00000000" w14:paraId="0000005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Tercer Informe Bienal de Actualización (BUR3)</w:t>
            </w:r>
          </w:p>
        </w:tc>
        <w:tc>
          <w:tcPr/>
          <w:p w:rsidR="00000000" w:rsidDel="00000000" w:rsidP="00000000" w:rsidRDefault="00000000" w:rsidRPr="00000000" w14:paraId="0000005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p w:rsidR="00000000" w:rsidDel="00000000" w:rsidP="00000000" w:rsidRDefault="00000000" w:rsidRPr="00000000" w14:paraId="0000005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Actualización de los inventarios para la serie de tiempo 1990 – 2014 y estimación del inventario para los años 2015 y 2018</w:t>
            </w:r>
          </w:p>
        </w:tc>
      </w:tr>
    </w:tbl>
    <w:p w:rsidR="00000000" w:rsidDel="00000000" w:rsidP="00000000" w:rsidRDefault="00000000" w:rsidRPr="00000000" w14:paraId="000000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w:t>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información necesaria para estimar las emisiones de gases de efecto invernadero (GEI) se recopiló, analizó y procesó siguiendo los lineamientos de la CMNUCC relacionados con el INGEI para las Partes no incluidas en el Anexo I de la CMNUCC</w:t>
      </w:r>
      <w:r w:rsidDel="00000000" w:rsidR="00000000" w:rsidRPr="00000000">
        <w:rPr>
          <w:rFonts w:ascii="Arial" w:cs="Arial" w:eastAsia="Arial" w:hAnsi="Arial"/>
          <w:sz w:val="22"/>
          <w:szCs w:val="22"/>
          <w:vertAlign w:val="superscript"/>
        </w:rPr>
        <w:footnoteReference w:customMarkFollows="0" w:id="0"/>
      </w:r>
      <w:r w:rsidDel="00000000" w:rsidR="00000000" w:rsidRPr="00000000">
        <w:rPr>
          <w:rFonts w:ascii="Arial" w:cs="Arial" w:eastAsia="Arial" w:hAnsi="Arial"/>
          <w:sz w:val="22"/>
          <w:szCs w:val="22"/>
          <w:rtl w:val="0"/>
        </w:rPr>
        <w:t xml:space="preserve">. Además, en línea con las buenas prácticas y el proceso de mejora continua del INGEI de Colombia, que propende por el avance en la transparencia del reporte, se tuvieron en cuenta los lineamientos estipulados para los países desarrollados (Anexo I de la CMNUCC)</w:t>
      </w:r>
      <w:r w:rsidDel="00000000" w:rsidR="00000000" w:rsidRPr="00000000">
        <w:rPr>
          <w:vertAlign w:val="superscript"/>
        </w:rPr>
        <w:footnoteReference w:customMarkFollows="0" w:id="1"/>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de resaltar que, en el último reporte presentado ante la CMNUCC (BUR3) se incluyeron los resultados del INGEI de los años 2015 a 2018, una actualización del INGEI de los años 1990 a 2014 y, por primera vez, los resultados del Inventario de Carbono Negro de los años 2010 a 2018. Por lo anterior, en el diseño y desarrollo de la plataforma SINGEI deberá incluir no sólo la estimación del INGEI, sino que adicionalmente deberá incorporar la estimación del Inventario de carbono negro y otros contaminantes atmosféricos. </w:t>
      </w:r>
    </w:p>
    <w:p w:rsidR="00000000" w:rsidDel="00000000" w:rsidP="00000000" w:rsidRDefault="00000000" w:rsidRPr="00000000" w14:paraId="000000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pStyle w:val="Heading2"/>
        <w:numPr>
          <w:ilvl w:val="1"/>
          <w:numId w:val="18"/>
        </w:numPr>
        <w:ind w:left="1080" w:hanging="720"/>
        <w:rPr/>
      </w:pPr>
      <w:bookmarkStart w:colFirst="0" w:colLast="0" w:name="_heading=h.2jxsxqh" w:id="2"/>
      <w:bookmarkEnd w:id="2"/>
      <w:r w:rsidDel="00000000" w:rsidR="00000000" w:rsidRPr="00000000">
        <w:rPr>
          <w:rtl w:val="0"/>
        </w:rPr>
        <w:t xml:space="preserve">Preparación del inventario</w:t>
      </w:r>
    </w:p>
    <w:p w:rsidR="00000000" w:rsidDel="00000000" w:rsidP="00000000" w:rsidRDefault="00000000" w:rsidRPr="00000000" w14:paraId="0000006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año 2015, durante la elaboración del primer BUR del país, se identificó la necesidad de crear el SINGEI para asegurar la generación de reportes nacionales con la frecuencia y la calidad requerida para dar cumplimiento a los compromisos ante la CMNUCC y, a su vez, contar con una herramienta de apoyo al Sistema MRV. La consolidación del SINGEI abarca diversos aspectos que van desde el fortalecimiento de arreglos interinstitucionales hasta el diseño, desarrollo e implementación de una plataforma web para el almacenamiento y procesamiento de información; cálculo y reporte de los resultados.</w:t>
      </w:r>
    </w:p>
    <w:p w:rsidR="00000000" w:rsidDel="00000000" w:rsidP="00000000" w:rsidRDefault="00000000" w:rsidRPr="00000000" w14:paraId="000000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5">
      <w:pPr>
        <w:pStyle w:val="Heading3"/>
        <w:numPr>
          <w:ilvl w:val="2"/>
          <w:numId w:val="30"/>
        </w:numPr>
        <w:ind w:left="1080" w:hanging="720"/>
        <w:rPr/>
      </w:pPr>
      <w:bookmarkStart w:colFirst="0" w:colLast="0" w:name="_heading=h.z337ya" w:id="3"/>
      <w:bookmarkEnd w:id="3"/>
      <w:r w:rsidDel="00000000" w:rsidR="00000000" w:rsidRPr="00000000">
        <w:rPr>
          <w:rtl w:val="0"/>
        </w:rPr>
        <w:t xml:space="preserve">Ciclo de preparación del INGEI</w:t>
      </w:r>
    </w:p>
    <w:p w:rsidR="00000000" w:rsidDel="00000000" w:rsidP="00000000" w:rsidRDefault="00000000" w:rsidRPr="00000000" w14:paraId="0000006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1mghml" w:id="4"/>
      <w:bookmarkEnd w:id="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1-1. Ciclo actual de preparación del INGEI en Colombia</w:t>
      </w:r>
    </w:p>
    <w:p w:rsidR="00000000" w:rsidDel="00000000" w:rsidP="00000000" w:rsidRDefault="00000000" w:rsidRPr="00000000" w14:paraId="00000068">
      <w:pPr>
        <w:jc w:val="center"/>
        <w:rPr>
          <w:rFonts w:ascii="Arial" w:cs="Arial" w:eastAsia="Arial" w:hAnsi="Arial"/>
          <w:sz w:val="22"/>
          <w:szCs w:val="22"/>
        </w:rPr>
      </w:pPr>
      <w:r w:rsidDel="00000000" w:rsidR="00000000" w:rsidRPr="00000000">
        <w:rPr/>
        <w:drawing>
          <wp:inline distB="0" distT="0" distL="0" distR="0">
            <wp:extent cx="2918934" cy="2726059"/>
            <wp:effectExtent b="0" l="0" r="0" t="0"/>
            <wp:docPr id="2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918934" cy="272605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IDEAM et al. (2021) </w:t>
      </w:r>
    </w:p>
    <w:p w:rsidR="00000000" w:rsidDel="00000000" w:rsidP="00000000" w:rsidRDefault="00000000" w:rsidRPr="00000000" w14:paraId="0000006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B">
      <w:pPr>
        <w:jc w:val="both"/>
        <w:rPr>
          <w:rFonts w:ascii="Arial" w:cs="Arial" w:eastAsia="Arial" w:hAnsi="Arial"/>
          <w:sz w:val="22"/>
          <w:szCs w:val="22"/>
        </w:rPr>
      </w:pPr>
      <w:bookmarkStart w:colFirst="0" w:colLast="0" w:name="_heading=h.19c6y18" w:id="5"/>
      <w:bookmarkEnd w:id="5"/>
      <w:r w:rsidDel="00000000" w:rsidR="00000000" w:rsidRPr="00000000">
        <w:rPr>
          <w:rFonts w:ascii="Arial" w:cs="Arial" w:eastAsia="Arial" w:hAnsi="Arial"/>
          <w:sz w:val="22"/>
          <w:szCs w:val="22"/>
          <w:rtl w:val="0"/>
        </w:rPr>
        <w:t xml:space="preserve">La elaboración del INGEI contempla un conjunto de actividades que se realizan de manera cíclica, las cuales empiezan cuando se define elaborar y actualizar el INGEI para ser presentado a la CMNUCC en los BTR. La Figura 1-1 muestra el ciclo actual de preparación del INGEI en Colombia, ilustrando las etapas principales, los actores y los tiempos.</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3"/>
        <w:numPr>
          <w:ilvl w:val="2"/>
          <w:numId w:val="30"/>
        </w:numPr>
        <w:ind w:left="1080" w:hanging="720"/>
        <w:rPr/>
      </w:pPr>
      <w:r w:rsidDel="00000000" w:rsidR="00000000" w:rsidRPr="00000000">
        <w:rPr>
          <w:rtl w:val="0"/>
        </w:rPr>
        <w:t xml:space="preserve">Instrumentos técnicos empleados en la preparación del INGEI</w:t>
      </w:r>
    </w:p>
    <w:p w:rsidR="00000000" w:rsidDel="00000000" w:rsidP="00000000" w:rsidRDefault="00000000" w:rsidRPr="00000000" w14:paraId="0000006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Tabla 1-2 se presentan para cada etapa del ciclo de preparación del INGEI, las actividades y los instrumentos técnicos empleados, los cuales hacen parte del proceso estandarizado del SINGEI.</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1-2. Actividades e instrumentos técnicos empleados en la preparación del INGEI</w:t>
      </w:r>
    </w:p>
    <w:tbl>
      <w:tblPr>
        <w:tblStyle w:val="Table2"/>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3685"/>
        <w:gridCol w:w="3588"/>
        <w:tblGridChange w:id="0">
          <w:tblGrid>
            <w:gridCol w:w="1555"/>
            <w:gridCol w:w="3685"/>
            <w:gridCol w:w="3588"/>
          </w:tblGrid>
        </w:tblGridChange>
      </w:tblGrid>
      <w:tr>
        <w:trPr>
          <w:cantSplit w:val="0"/>
          <w:tblHeader w:val="1"/>
        </w:trPr>
        <w:tc>
          <w:tcPr>
            <w:shd w:fill="auto" w:val="clear"/>
          </w:tcPr>
          <w:p w:rsidR="00000000" w:rsidDel="00000000" w:rsidP="00000000" w:rsidRDefault="00000000" w:rsidRPr="00000000" w14:paraId="0000007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Etapa</w:t>
            </w:r>
          </w:p>
        </w:tc>
        <w:tc>
          <w:tcPr>
            <w:shd w:fill="auto" w:val="clear"/>
          </w:tcPr>
          <w:p w:rsidR="00000000" w:rsidDel="00000000" w:rsidP="00000000" w:rsidRDefault="00000000" w:rsidRPr="00000000" w14:paraId="0000007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Actividades</w:t>
            </w:r>
          </w:p>
        </w:tc>
        <w:tc>
          <w:tcPr>
            <w:shd w:fill="auto" w:val="clear"/>
          </w:tcPr>
          <w:p w:rsidR="00000000" w:rsidDel="00000000" w:rsidP="00000000" w:rsidRDefault="00000000" w:rsidRPr="00000000" w14:paraId="0000007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Instrumentos empleados</w:t>
            </w:r>
          </w:p>
        </w:tc>
      </w:tr>
      <w:tr>
        <w:trPr>
          <w:cantSplit w:val="0"/>
          <w:tblHeader w:val="0"/>
        </w:trPr>
        <w:tc>
          <w:tcPr>
            <w:shd w:fill="auto" w:val="clear"/>
          </w:tcPr>
          <w:p w:rsidR="00000000" w:rsidDel="00000000" w:rsidP="00000000" w:rsidRDefault="00000000" w:rsidRPr="00000000" w14:paraId="0000007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Alistamiento</w:t>
            </w:r>
          </w:p>
        </w:tc>
        <w:tc>
          <w:tcPr>
            <w:shd w:fill="auto" w:val="clear"/>
          </w:tcPr>
          <w:p w:rsidR="00000000" w:rsidDel="00000000" w:rsidP="00000000" w:rsidRDefault="00000000" w:rsidRPr="00000000" w14:paraId="00000076">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363" w:right="0" w:hanging="45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Selección de métodos y fuentes de datos según las mejoras a implementar en el nuevo ciclo del inventario.</w:t>
            </w:r>
          </w:p>
          <w:p w:rsidR="00000000" w:rsidDel="00000000" w:rsidP="00000000" w:rsidRDefault="00000000" w:rsidRPr="00000000" w14:paraId="00000077">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363" w:right="0" w:hanging="45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Definición plan de trabajo según las mejoras propuestas.</w:t>
            </w:r>
          </w:p>
          <w:p w:rsidR="00000000" w:rsidDel="00000000" w:rsidP="00000000" w:rsidRDefault="00000000" w:rsidRPr="00000000" w14:paraId="00000078">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363" w:right="0" w:hanging="45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Revisión, actualización y alistamiento de instrumentos.</w:t>
            </w:r>
          </w:p>
          <w:p w:rsidR="00000000" w:rsidDel="00000000" w:rsidP="00000000" w:rsidRDefault="00000000" w:rsidRPr="00000000" w14:paraId="00000079">
            <w:pPr>
              <w:keepNext w:val="0"/>
              <w:keepLines w:val="0"/>
              <w:pageBreakBefore w:val="0"/>
              <w:widowControl w:val="1"/>
              <w:numPr>
                <w:ilvl w:val="1"/>
                <w:numId w:val="30"/>
              </w:numPr>
              <w:pBdr>
                <w:top w:space="0" w:sz="0" w:val="nil"/>
                <w:left w:space="0" w:sz="0" w:val="nil"/>
                <w:bottom w:space="0" w:sz="0" w:val="nil"/>
                <w:right w:space="0" w:sz="0" w:val="nil"/>
                <w:between w:space="0" w:sz="0" w:val="nil"/>
              </w:pBdr>
              <w:shd w:fill="auto" w:val="clear"/>
              <w:spacing w:after="0" w:before="0" w:line="240" w:lineRule="auto"/>
              <w:ind w:left="363" w:right="0" w:hanging="45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Reunión de inicio.</w:t>
            </w:r>
          </w:p>
        </w:tc>
        <w:tc>
          <w:tcPr>
            <w:shd w:fill="auto" w:val="clear"/>
          </w:tcPr>
          <w:p w:rsidR="00000000" w:rsidDel="00000000" w:rsidP="00000000" w:rsidRDefault="00000000" w:rsidRPr="00000000" w14:paraId="0000007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45"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Metodologías IPCC 2006 y otras directrices del IPCC.</w:t>
            </w:r>
          </w:p>
          <w:p w:rsidR="00000000" w:rsidDel="00000000" w:rsidP="00000000" w:rsidRDefault="00000000" w:rsidRPr="00000000" w14:paraId="0000007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245" w:right="0" w:hanging="284"/>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Instrumentos propios del SINGEI:</w:t>
            </w:r>
          </w:p>
          <w:p w:rsidR="00000000" w:rsidDel="00000000" w:rsidP="00000000" w:rsidRDefault="00000000" w:rsidRPr="00000000" w14:paraId="0000007C">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Formatos</w:t>
            </w:r>
          </w:p>
          <w:p w:rsidR="00000000" w:rsidDel="00000000" w:rsidP="00000000" w:rsidRDefault="00000000" w:rsidRPr="00000000" w14:paraId="0000007D">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Bases de datos compiladas (B0, B2, F1, FE)</w:t>
            </w:r>
          </w:p>
          <w:p w:rsidR="00000000" w:rsidDel="00000000" w:rsidP="00000000" w:rsidRDefault="00000000" w:rsidRPr="00000000" w14:paraId="0000007E">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Hojas de cálculo, las cuales contienen las respectivas bases de datos de cada módulo (AFOLU1_CALC, AFOLU2_CALC, ENE_CALC, IPPU_CALC, RES_CALC)</w:t>
            </w:r>
          </w:p>
          <w:p w:rsidR="00000000" w:rsidDel="00000000" w:rsidP="00000000" w:rsidRDefault="00000000" w:rsidRPr="00000000" w14:paraId="0000007F">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Plan de mejora del INGEI</w:t>
            </w:r>
          </w:p>
          <w:p w:rsidR="00000000" w:rsidDel="00000000" w:rsidP="00000000" w:rsidRDefault="00000000" w:rsidRPr="00000000" w14:paraId="00000080">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Informe del Inventario Nacional (NIR por sus siglas en inglés)</w:t>
            </w:r>
          </w:p>
          <w:p w:rsidR="00000000" w:rsidDel="00000000" w:rsidP="00000000" w:rsidRDefault="00000000" w:rsidRPr="00000000" w14:paraId="00000081">
            <w:pPr>
              <w:ind w:left="245"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Protocolos</w:t>
            </w:r>
          </w:p>
        </w:tc>
      </w:tr>
      <w:tr>
        <w:trPr>
          <w:cantSplit w:val="0"/>
          <w:tblHeader w:val="0"/>
        </w:trPr>
        <w:tc>
          <w:tcPr>
            <w:shd w:fill="auto" w:val="clear"/>
          </w:tcPr>
          <w:p w:rsidR="00000000" w:rsidDel="00000000" w:rsidP="00000000" w:rsidRDefault="00000000" w:rsidRPr="00000000" w14:paraId="000000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Recopilación y</w:t>
            </w:r>
          </w:p>
          <w:p w:rsidR="00000000" w:rsidDel="00000000" w:rsidP="00000000" w:rsidRDefault="00000000" w:rsidRPr="00000000" w14:paraId="000000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procesamiento de información</w:t>
            </w:r>
          </w:p>
        </w:tc>
        <w:tc>
          <w:tcPr>
            <w:shd w:fill="auto" w:val="clear"/>
          </w:tcPr>
          <w:p w:rsidR="00000000" w:rsidDel="00000000" w:rsidP="00000000" w:rsidRDefault="00000000" w:rsidRPr="00000000" w14:paraId="0000008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tbugp1" w:id="6"/>
            <w:bookmarkEnd w:id="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Solicitud y recopilación de datos de actividad.</w:t>
            </w:r>
          </w:p>
          <w:p w:rsidR="00000000" w:rsidDel="00000000" w:rsidP="00000000" w:rsidRDefault="00000000" w:rsidRPr="00000000" w14:paraId="0000008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Consolidación primera bases de datos de actividad, revisión rango de incertidumbre, procesamiento de datos y consolidación de bases de datos de actividad final.</w:t>
            </w:r>
          </w:p>
          <w:p w:rsidR="00000000" w:rsidDel="00000000" w:rsidP="00000000" w:rsidRDefault="00000000" w:rsidRPr="00000000" w14:paraId="0000008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Selección de factores de emisión.</w:t>
            </w:r>
          </w:p>
          <w:p w:rsidR="00000000" w:rsidDel="00000000" w:rsidP="00000000" w:rsidRDefault="00000000" w:rsidRPr="00000000" w14:paraId="0000008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Definición de la incertidumbre de los datos de actividad y factores de emisión, por módulo.</w:t>
            </w:r>
          </w:p>
          <w:p w:rsidR="00000000" w:rsidDel="00000000" w:rsidP="00000000" w:rsidRDefault="00000000" w:rsidRPr="00000000" w14:paraId="0000008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Talleres/reuniones bilaterales sectoriales de socialización de metodologías y datos a emplear.</w:t>
            </w:r>
          </w:p>
        </w:tc>
        <w:tc>
          <w:tcPr>
            <w:shd w:fill="auto" w:val="clear"/>
          </w:tcPr>
          <w:p w:rsidR="00000000" w:rsidDel="00000000" w:rsidP="00000000" w:rsidRDefault="00000000" w:rsidRPr="00000000" w14:paraId="0000008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Protocolos de datos de actividad por cada entidad.</w:t>
            </w:r>
          </w:p>
          <w:p w:rsidR="00000000" w:rsidDel="00000000" w:rsidP="00000000" w:rsidRDefault="00000000" w:rsidRPr="00000000" w14:paraId="0000008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Formato unificado de ingreso de información (FU) por cada entidad.</w:t>
            </w:r>
          </w:p>
          <w:p w:rsidR="00000000" w:rsidDel="00000000" w:rsidP="00000000" w:rsidRDefault="00000000" w:rsidRPr="00000000" w14:paraId="0000008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factores (P_Factores).</w:t>
            </w:r>
          </w:p>
          <w:p w:rsidR="00000000" w:rsidDel="00000000" w:rsidP="00000000" w:rsidRDefault="00000000" w:rsidRPr="00000000" w14:paraId="0000008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Formato de ingreso de factores de emisión (FE).</w:t>
            </w:r>
          </w:p>
          <w:p w:rsidR="00000000" w:rsidDel="00000000" w:rsidP="00000000" w:rsidRDefault="00000000" w:rsidRPr="00000000" w14:paraId="0000008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 de datos de factores histórica (F1).</w:t>
            </w:r>
          </w:p>
          <w:p w:rsidR="00000000" w:rsidDel="00000000" w:rsidP="00000000" w:rsidRDefault="00000000" w:rsidRPr="00000000" w14:paraId="0000008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 de datos de actividad inicial B0 y B2.</w:t>
            </w:r>
          </w:p>
          <w:p w:rsidR="00000000" w:rsidDel="00000000" w:rsidP="00000000" w:rsidRDefault="00000000" w:rsidRPr="00000000" w14:paraId="0000008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 de datos de factores F2 para cada módulo, las cuales se aloja en cada libro de cálculo Excel de cada módulo (AFOLU1_CALC, AFOLU2_CALC, ENE_CALC, IPPU_CALC, RES_CALC).</w:t>
            </w:r>
          </w:p>
          <w:p w:rsidR="00000000" w:rsidDel="00000000" w:rsidP="00000000" w:rsidRDefault="00000000" w:rsidRPr="00000000" w14:paraId="0000009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control y aseguramiento de calidad (P_Control_Calidad).</w:t>
            </w:r>
          </w:p>
        </w:tc>
      </w:tr>
      <w:tr>
        <w:trPr>
          <w:cantSplit w:val="0"/>
          <w:tblHeader w:val="0"/>
        </w:trPr>
        <w:tc>
          <w:tcPr>
            <w:shd w:fill="auto" w:val="clear"/>
          </w:tcPr>
          <w:p w:rsidR="00000000" w:rsidDel="00000000" w:rsidP="00000000" w:rsidRDefault="00000000" w:rsidRPr="00000000" w14:paraId="0000009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Cálculos y reportes</w:t>
            </w:r>
          </w:p>
          <w:p w:rsidR="00000000" w:rsidDel="00000000" w:rsidP="00000000" w:rsidRDefault="00000000" w:rsidRPr="00000000" w14:paraId="000000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preliminares por módulo</w:t>
            </w:r>
          </w:p>
        </w:tc>
        <w:tc>
          <w:tcPr>
            <w:shd w:fill="auto" w:val="clear"/>
          </w:tcPr>
          <w:p w:rsidR="00000000" w:rsidDel="00000000" w:rsidP="00000000" w:rsidRDefault="00000000" w:rsidRPr="00000000" w14:paraId="0000009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28h4qwu" w:id="7"/>
            <w:bookmarkEnd w:id="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Cálculo de emisiones GEI de los nuevos años y ajuste de la serie.</w:t>
            </w:r>
          </w:p>
          <w:p w:rsidR="00000000" w:rsidDel="00000000" w:rsidP="00000000" w:rsidRDefault="00000000" w:rsidRPr="00000000" w14:paraId="0000009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Generación de tablas de reporte de emisiones GEI por módulo (resultados preliminares).</w:t>
            </w:r>
          </w:p>
          <w:p w:rsidR="00000000" w:rsidDel="00000000" w:rsidP="00000000" w:rsidRDefault="00000000" w:rsidRPr="00000000" w14:paraId="0000009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Generación de la primera versión del reporte sectorial (NIR sectorial).</w:t>
            </w:r>
          </w:p>
          <w:p w:rsidR="00000000" w:rsidDel="00000000" w:rsidP="00000000" w:rsidRDefault="00000000" w:rsidRPr="00000000" w14:paraId="0000009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455" w:right="0" w:hanging="455"/>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Consolidación y validación de las incertidumbres de los datos de actividad y factores de emisión, por módulo.</w:t>
            </w:r>
          </w:p>
        </w:tc>
        <w:tc>
          <w:tcPr>
            <w:shd w:fill="auto" w:val="clear"/>
          </w:tcPr>
          <w:p w:rsidR="00000000" w:rsidDel="00000000" w:rsidP="00000000" w:rsidRDefault="00000000" w:rsidRPr="00000000" w14:paraId="0000009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Metodologías IPCC 2006 y otras directrices del IPCC.</w:t>
            </w:r>
          </w:p>
          <w:p w:rsidR="00000000" w:rsidDel="00000000" w:rsidP="00000000" w:rsidRDefault="00000000" w:rsidRPr="00000000" w14:paraId="0000009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cálculo (P_Calculos) con instrucciones para el cálculo de emisiones e incertidumbre.</w:t>
            </w:r>
          </w:p>
          <w:p w:rsidR="00000000" w:rsidDel="00000000" w:rsidP="00000000" w:rsidRDefault="00000000" w:rsidRPr="00000000" w14:paraId="0000009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Hojas de cálculo de cada módulo (AFOLU1_CALC, AFOLU2_CALC, ENE_CALC, IPPU_CALC, RES_CALC).</w:t>
            </w:r>
          </w:p>
          <w:p w:rsidR="00000000" w:rsidDel="00000000" w:rsidP="00000000" w:rsidRDefault="00000000" w:rsidRPr="00000000" w14:paraId="0000009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Algoritmos de programación para el cálculo de la incertidumbre.</w:t>
            </w:r>
          </w:p>
        </w:tc>
      </w:tr>
      <w:tr>
        <w:trPr>
          <w:cantSplit w:val="0"/>
          <w:tblHeader w:val="0"/>
        </w:trPr>
        <w:tc>
          <w:tcPr>
            <w:shd w:fill="auto" w:val="clear"/>
          </w:tcPr>
          <w:p w:rsidR="00000000" w:rsidDel="00000000" w:rsidP="00000000" w:rsidRDefault="00000000" w:rsidRPr="00000000" w14:paraId="0000009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Validación</w:t>
            </w:r>
          </w:p>
          <w:p w:rsidR="00000000" w:rsidDel="00000000" w:rsidP="00000000" w:rsidRDefault="00000000" w:rsidRPr="00000000" w14:paraId="0000009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sectorial y ajustes a resultados.</w:t>
            </w:r>
          </w:p>
        </w:tc>
        <w:tc>
          <w:tcPr>
            <w:shd w:fill="auto" w:val="clear"/>
          </w:tcPr>
          <w:p w:rsidR="00000000" w:rsidDel="00000000" w:rsidP="00000000" w:rsidRDefault="00000000" w:rsidRPr="00000000" w14:paraId="0000009D">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455" w:right="0" w:hanging="426"/>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nmf14n" w:id="8"/>
            <w:bookmarkEnd w:id="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Socialización de resultados por módulo con actores sectoriales para validación de resultados.</w:t>
            </w:r>
          </w:p>
          <w:p w:rsidR="00000000" w:rsidDel="00000000" w:rsidP="00000000" w:rsidRDefault="00000000" w:rsidRPr="00000000" w14:paraId="0000009E">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455"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Cálculo y reporte de la incertidumbre por módulo y total.</w:t>
            </w:r>
          </w:p>
          <w:p w:rsidR="00000000" w:rsidDel="00000000" w:rsidP="00000000" w:rsidRDefault="00000000" w:rsidRPr="00000000" w14:paraId="0000009F">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455"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Estimación y reporte de categorías clave.</w:t>
            </w:r>
          </w:p>
          <w:p w:rsidR="00000000" w:rsidDel="00000000" w:rsidP="00000000" w:rsidRDefault="00000000" w:rsidRPr="00000000" w14:paraId="000000A0">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455"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Generación de tablas de reportes de resultados finales por módulo (si se requiere ajuste luego del primer control de calidad y de la validación de resultados con sectores).</w:t>
            </w:r>
          </w:p>
          <w:p w:rsidR="00000000" w:rsidDel="00000000" w:rsidP="00000000" w:rsidRDefault="00000000" w:rsidRPr="00000000" w14:paraId="000000A1">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455"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Generación de reporte final del NIR por módulo.</w:t>
            </w:r>
          </w:p>
        </w:tc>
        <w:tc>
          <w:tcPr>
            <w:shd w:fill="auto" w:val="clear"/>
          </w:tcPr>
          <w:p w:rsidR="00000000" w:rsidDel="00000000" w:rsidP="00000000" w:rsidRDefault="00000000" w:rsidRPr="00000000" w14:paraId="000000A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cálculo (P_Calculos) con instrucciones para el cálculo de incertidumbre y categorías clave.</w:t>
            </w:r>
          </w:p>
          <w:p w:rsidR="00000000" w:rsidDel="00000000" w:rsidP="00000000" w:rsidRDefault="00000000" w:rsidRPr="00000000" w14:paraId="000000A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Hoja de cálculo de categorías clave.</w:t>
            </w:r>
          </w:p>
          <w:p w:rsidR="00000000" w:rsidDel="00000000" w:rsidP="00000000" w:rsidRDefault="00000000" w:rsidRPr="00000000" w14:paraId="000000A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Algoritmos de programación para el cálculo de la incertidumbre.</w:t>
            </w:r>
          </w:p>
          <w:p w:rsidR="00000000" w:rsidDel="00000000" w:rsidP="00000000" w:rsidRDefault="00000000" w:rsidRPr="00000000" w14:paraId="000000A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Documentos previos NIR por módulo.</w:t>
            </w:r>
          </w:p>
          <w:p w:rsidR="00000000" w:rsidDel="00000000" w:rsidP="00000000" w:rsidRDefault="00000000" w:rsidRPr="00000000" w14:paraId="000000A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21"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control y aseguramiento de calidad (P_Control_Calidad).</w:t>
            </w:r>
          </w:p>
        </w:tc>
      </w:tr>
      <w:tr>
        <w:trPr>
          <w:cantSplit w:val="0"/>
          <w:tblHeader w:val="0"/>
        </w:trPr>
        <w:tc>
          <w:tcPr>
            <w:shd w:fill="auto" w:val="clear"/>
          </w:tcPr>
          <w:p w:rsidR="00000000" w:rsidDel="00000000" w:rsidP="00000000" w:rsidRDefault="00000000" w:rsidRPr="00000000" w14:paraId="000000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Compilación y generación</w:t>
            </w:r>
          </w:p>
          <w:p w:rsidR="00000000" w:rsidDel="00000000" w:rsidP="00000000" w:rsidRDefault="00000000" w:rsidRPr="00000000" w14:paraId="000000A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reportes finales</w:t>
            </w:r>
          </w:p>
        </w:tc>
        <w:tc>
          <w:tcPr>
            <w:shd w:fill="auto" w:val="clear"/>
          </w:tcPr>
          <w:p w:rsidR="00000000" w:rsidDel="00000000" w:rsidP="00000000" w:rsidRDefault="00000000" w:rsidRPr="00000000" w14:paraId="000000A9">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7m2jsg" w:id="9"/>
            <w:bookmarkEnd w:i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Generación tabla de reporte total de resultado del INGEI.</w:t>
            </w:r>
          </w:p>
          <w:p w:rsidR="00000000" w:rsidDel="00000000" w:rsidP="00000000" w:rsidRDefault="00000000" w:rsidRPr="00000000" w14:paraId="000000AA">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Escritura final del Informe de Inventario Nacional (NIR) compilado para todo el inventario y del reporte del INGEI para el BUR.</w:t>
            </w:r>
          </w:p>
          <w:p w:rsidR="00000000" w:rsidDel="00000000" w:rsidP="00000000" w:rsidRDefault="00000000" w:rsidRPr="00000000" w14:paraId="000000AB">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Aseguramiento de calidad con expertos.</w:t>
            </w:r>
          </w:p>
          <w:p w:rsidR="00000000" w:rsidDel="00000000" w:rsidP="00000000" w:rsidRDefault="00000000" w:rsidRPr="00000000" w14:paraId="000000AC">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Talleres socialización de resultados finales y totales.</w:t>
            </w:r>
          </w:p>
        </w:tc>
        <w:tc>
          <w:tcPr>
            <w:shd w:fill="auto" w:val="clear"/>
          </w:tcPr>
          <w:p w:rsidR="00000000" w:rsidDel="00000000" w:rsidP="00000000" w:rsidRDefault="00000000" w:rsidRPr="00000000" w14:paraId="000000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compilación y reporte (P_Compilacion_yReportes)</w:t>
            </w:r>
          </w:p>
          <w:p w:rsidR="00000000" w:rsidDel="00000000" w:rsidP="00000000" w:rsidRDefault="00000000" w:rsidRPr="00000000" w14:paraId="000000A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Documentos previos NIR compilado.</w:t>
            </w:r>
          </w:p>
          <w:p w:rsidR="00000000" w:rsidDel="00000000" w:rsidP="00000000" w:rsidRDefault="00000000" w:rsidRPr="00000000" w14:paraId="000000A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Bases de datos B0, B2, F2 y R2 compiladas hasta su última actualización.</w:t>
            </w:r>
          </w:p>
          <w:p w:rsidR="00000000" w:rsidDel="00000000" w:rsidP="00000000" w:rsidRDefault="00000000" w:rsidRPr="00000000" w14:paraId="000000B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control y aseguramiento de calidad (P_Control_Calidad).</w:t>
            </w:r>
          </w:p>
        </w:tc>
      </w:tr>
      <w:tr>
        <w:trPr>
          <w:cantSplit w:val="0"/>
          <w:tblHeader w:val="0"/>
        </w:trPr>
        <w:tc>
          <w:tcPr>
            <w:shd w:fill="auto" w:val="clear"/>
          </w:tcPr>
          <w:p w:rsidR="00000000" w:rsidDel="00000000" w:rsidP="00000000" w:rsidRDefault="00000000" w:rsidRPr="00000000" w14:paraId="000000B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6. Actualización de plan de mejora y del sistema de archivo</w:t>
            </w:r>
          </w:p>
        </w:tc>
        <w:tc>
          <w:tcPr>
            <w:shd w:fill="auto" w:val="clear"/>
          </w:tcPr>
          <w:p w:rsidR="00000000" w:rsidDel="00000000" w:rsidP="00000000" w:rsidRDefault="00000000" w:rsidRPr="00000000" w14:paraId="000000B2">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1mrcu09" w:id="10"/>
            <w:bookmarkEnd w:id="1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Actualización del plan de mejora del INGEI (teniendo en cuenta análisis de incertidumbre, categorías clave, prioridades de mitigación del país y resultados del proceso de aseguramiento de calidad).</w:t>
            </w:r>
          </w:p>
          <w:p w:rsidR="00000000" w:rsidDel="00000000" w:rsidP="00000000" w:rsidRDefault="00000000" w:rsidRPr="00000000" w14:paraId="000000B3">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240" w:lineRule="auto"/>
              <w:ind w:left="457" w:right="0" w:hanging="426"/>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Archivo de los cálculos, resultados, controles de calidad y demás soportes del cálculo del respectivo ciclo del INGEI.</w:t>
            </w:r>
          </w:p>
        </w:tc>
        <w:tc>
          <w:tcPr>
            <w:shd w:fill="auto" w:val="clear"/>
          </w:tcPr>
          <w:p w:rsidR="00000000" w:rsidDel="00000000" w:rsidP="00000000" w:rsidRDefault="00000000" w:rsidRPr="00000000" w14:paraId="000000B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Plan de mejora del INGEI actualizado</w:t>
            </w:r>
          </w:p>
          <w:p w:rsidR="00000000" w:rsidDel="00000000" w:rsidP="00000000" w:rsidRDefault="00000000" w:rsidRPr="00000000" w14:paraId="000000B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sistema de archivo (P_Archivo).</w:t>
            </w:r>
          </w:p>
          <w:p w:rsidR="00000000" w:rsidDel="00000000" w:rsidP="00000000" w:rsidRDefault="00000000" w:rsidRPr="00000000" w14:paraId="000000B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Sistema de archivo previo.</w:t>
            </w:r>
          </w:p>
          <w:p w:rsidR="00000000" w:rsidDel="00000000" w:rsidP="00000000" w:rsidRDefault="00000000" w:rsidRPr="00000000" w14:paraId="000000B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Protocolo de control y aseguramiento de calidad (P_Control_Calidad).</w:t>
            </w:r>
          </w:p>
        </w:tc>
      </w:tr>
    </w:tbl>
    <w:p w:rsidR="00000000" w:rsidDel="00000000" w:rsidP="00000000" w:rsidRDefault="00000000" w:rsidRPr="00000000" w14:paraId="000000B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IDEAM et al. (2021) </w:t>
      </w:r>
    </w:p>
    <w:p w:rsidR="00000000" w:rsidDel="00000000" w:rsidP="00000000" w:rsidRDefault="00000000" w:rsidRPr="00000000" w14:paraId="000000B9">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Tabla 1-3 presenta una breve descripción de los instrumentos empleados en el proceso de preparación del INGEI que fueron listados en la Tabla 1-2.</w:t>
      </w:r>
    </w:p>
    <w:p w:rsidR="00000000" w:rsidDel="00000000" w:rsidP="00000000" w:rsidRDefault="00000000" w:rsidRPr="00000000" w14:paraId="000000BC">
      <w:pPr>
        <w:jc w:val="both"/>
        <w:rPr/>
      </w:pPr>
      <w:r w:rsidDel="00000000" w:rsidR="00000000" w:rsidRPr="00000000">
        <w:rPr>
          <w:rtl w:val="0"/>
        </w:rPr>
      </w:r>
    </w:p>
    <w:p w:rsidR="00000000" w:rsidDel="00000000" w:rsidP="00000000" w:rsidRDefault="00000000" w:rsidRPr="00000000" w14:paraId="000000B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1-3. Descripción de los Instrumentos empleados en el proceso de preparación del INGEI</w:t>
      </w:r>
    </w:p>
    <w:tbl>
      <w:tblPr>
        <w:tblStyle w:val="Table3"/>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2268"/>
        <w:gridCol w:w="4864"/>
        <w:tblGridChange w:id="0">
          <w:tblGrid>
            <w:gridCol w:w="1696"/>
            <w:gridCol w:w="2268"/>
            <w:gridCol w:w="4864"/>
          </w:tblGrid>
        </w:tblGridChange>
      </w:tblGrid>
      <w:tr>
        <w:trPr>
          <w:cantSplit w:val="0"/>
          <w:tblHeader w:val="1"/>
        </w:trPr>
        <w:tc>
          <w:tcPr>
            <w:shd w:fill="auto" w:val="clear"/>
          </w:tcPr>
          <w:p w:rsidR="00000000" w:rsidDel="00000000" w:rsidP="00000000" w:rsidRDefault="00000000" w:rsidRPr="00000000" w14:paraId="000000B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Tipo de instrumento</w:t>
            </w:r>
          </w:p>
        </w:tc>
        <w:tc>
          <w:tcPr>
            <w:shd w:fill="auto" w:val="clear"/>
          </w:tcPr>
          <w:p w:rsidR="00000000" w:rsidDel="00000000" w:rsidP="00000000" w:rsidRDefault="00000000" w:rsidRPr="00000000" w14:paraId="000000B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Nombre del instrumento</w:t>
            </w:r>
          </w:p>
        </w:tc>
        <w:tc>
          <w:tcPr>
            <w:shd w:fill="auto" w:val="clear"/>
          </w:tcPr>
          <w:p w:rsidR="00000000" w:rsidDel="00000000" w:rsidP="00000000" w:rsidRDefault="00000000" w:rsidRPr="00000000" w14:paraId="000000C0">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Descripción</w:t>
            </w:r>
          </w:p>
        </w:tc>
      </w:tr>
      <w:tr>
        <w:trPr>
          <w:cantSplit w:val="0"/>
          <w:tblHeader w:val="0"/>
        </w:trPr>
        <w:tc>
          <w:tcPr>
            <w:vMerge w:val="restart"/>
            <w:shd w:fill="auto" w:val="clear"/>
          </w:tcPr>
          <w:p w:rsidR="00000000" w:rsidDel="00000000" w:rsidP="00000000" w:rsidRDefault="00000000" w:rsidRPr="00000000" w14:paraId="000000C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PROTOCOLOS DE LOS PROCESOS</w:t>
            </w:r>
          </w:p>
          <w:p w:rsidR="00000000" w:rsidDel="00000000" w:rsidP="00000000" w:rsidRDefault="00000000" w:rsidRPr="00000000" w14:paraId="000000C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ASOCIADOS A LA</w:t>
            </w:r>
          </w:p>
          <w:p w:rsidR="00000000" w:rsidDel="00000000" w:rsidP="00000000" w:rsidRDefault="00000000" w:rsidRPr="00000000" w14:paraId="000000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PREPARACIÓN DEL INGEI</w:t>
            </w:r>
          </w:p>
        </w:tc>
        <w:tc>
          <w:tcPr>
            <w:shd w:fill="auto" w:val="clear"/>
          </w:tcPr>
          <w:p w:rsidR="00000000" w:rsidDel="00000000" w:rsidP="00000000" w:rsidRDefault="00000000" w:rsidRPr="00000000" w14:paraId="000000C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Maestro:</w:t>
            </w:r>
          </w:p>
          <w:p w:rsidR="00000000" w:rsidDel="00000000" w:rsidP="00000000" w:rsidRDefault="00000000" w:rsidRPr="00000000" w14:paraId="000000C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P_Maestro</w:t>
            </w:r>
          </w:p>
        </w:tc>
        <w:tc>
          <w:tcPr>
            <w:shd w:fill="auto" w:val="clear"/>
          </w:tcPr>
          <w:p w:rsidR="00000000" w:rsidDel="00000000" w:rsidP="00000000" w:rsidRDefault="00000000" w:rsidRPr="00000000" w14:paraId="000000C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 que describe las etapas, procedimientos, protocolos, bases de datos, formatos y usuarios para el proceso de cálculo del INGEI. Es el documento que le da al lector la visión general de cómo se tiene estandarizado el proceso y cómo se debe realizar.</w:t>
            </w:r>
          </w:p>
        </w:tc>
      </w:tr>
      <w:tr>
        <w:trPr>
          <w:cantSplit w:val="0"/>
          <w:tblHeader w:val="0"/>
        </w:trPr>
        <w:tc>
          <w:tcPr>
            <w:vMerge w:val="continue"/>
            <w:shd w:fill="auto"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C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Protocolos de entrada de</w:t>
            </w:r>
          </w:p>
          <w:p w:rsidR="00000000" w:rsidDel="00000000" w:rsidP="00000000" w:rsidRDefault="00000000" w:rsidRPr="00000000" w14:paraId="000000C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datos de actividad:</w:t>
            </w:r>
          </w:p>
          <w:p w:rsidR="00000000" w:rsidDel="00000000" w:rsidP="00000000" w:rsidRDefault="00000000" w:rsidRPr="00000000" w14:paraId="000000C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P_Datos_ actividad</w:t>
            </w:r>
          </w:p>
        </w:tc>
        <w:tc>
          <w:tcPr>
            <w:shd w:fill="auto" w:val="clear"/>
          </w:tcPr>
          <w:p w:rsidR="00000000" w:rsidDel="00000000" w:rsidP="00000000" w:rsidRDefault="00000000" w:rsidRPr="00000000" w14:paraId="000000C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Documentos que explican los procedimientos estandarizados para el ingreso de los datos de actividad en el formato unificado de ingreso (FU). Existe un protocolo por cada entidad que provee información de los datos de actividad. Cada protocolo tiene como anexo el archivo en</w:t>
            </w:r>
          </w:p>
          <w:p w:rsidR="00000000" w:rsidDel="00000000" w:rsidP="00000000" w:rsidRDefault="00000000" w:rsidRPr="00000000" w14:paraId="000000C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Excel con el formato FU.</w:t>
            </w:r>
          </w:p>
        </w:tc>
      </w:tr>
      <w:tr>
        <w:trPr>
          <w:cantSplit w:val="0"/>
          <w:tblHeader w:val="0"/>
        </w:trPr>
        <w:tc>
          <w:tcPr>
            <w:vMerge w:val="continue"/>
            <w:shd w:fill="auto"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C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de entrada de</w:t>
            </w:r>
          </w:p>
          <w:p w:rsidR="00000000" w:rsidDel="00000000" w:rsidP="00000000" w:rsidRDefault="00000000" w:rsidRPr="00000000" w14:paraId="000000C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factores: P_Factores</w:t>
            </w:r>
          </w:p>
        </w:tc>
        <w:tc>
          <w:tcPr>
            <w:shd w:fill="auto" w:val="clear"/>
          </w:tcPr>
          <w:p w:rsidR="00000000" w:rsidDel="00000000" w:rsidP="00000000" w:rsidRDefault="00000000" w:rsidRPr="00000000" w14:paraId="000000D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 que explica la estructura y el contenido de las bases de datos F1 sobre factores de emisión y otros factores requeridos para el cálculo, describe los procedimientos para ingresar factores nuevos mediante el formato FE y para la consolidación de la base de datos F2 en cada nuevo inventario.</w:t>
            </w:r>
          </w:p>
        </w:tc>
      </w:tr>
      <w:tr>
        <w:trPr>
          <w:cantSplit w:val="0"/>
          <w:tblHeader w:val="0"/>
        </w:trPr>
        <w:tc>
          <w:tcPr>
            <w:vMerge w:val="continue"/>
            <w:shd w:fill="auto"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D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de control y</w:t>
            </w:r>
          </w:p>
          <w:p w:rsidR="00000000" w:rsidDel="00000000" w:rsidP="00000000" w:rsidRDefault="00000000" w:rsidRPr="00000000" w14:paraId="000000D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Asegura-miento de</w:t>
            </w:r>
          </w:p>
          <w:p w:rsidR="00000000" w:rsidDel="00000000" w:rsidP="00000000" w:rsidRDefault="00000000" w:rsidRPr="00000000" w14:paraId="000000D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calidad:</w:t>
            </w:r>
          </w:p>
          <w:p w:rsidR="00000000" w:rsidDel="00000000" w:rsidP="00000000" w:rsidRDefault="00000000" w:rsidRPr="00000000" w14:paraId="000000D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P_Control_ Calidad</w:t>
            </w:r>
          </w:p>
        </w:tc>
        <w:tc>
          <w:tcPr>
            <w:shd w:fill="auto" w:val="clear"/>
          </w:tcPr>
          <w:p w:rsidR="00000000" w:rsidDel="00000000" w:rsidP="00000000" w:rsidRDefault="00000000" w:rsidRPr="00000000" w14:paraId="000000D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 que explica los procedimientos de control y aseguramiento de calidad que se deben realizar en todas las etapas de preparación del INGEI.</w:t>
            </w:r>
          </w:p>
        </w:tc>
      </w:tr>
      <w:tr>
        <w:trPr>
          <w:cantSplit w:val="0"/>
          <w:tblHeader w:val="0"/>
        </w:trPr>
        <w:tc>
          <w:tcPr>
            <w:vMerge w:val="continue"/>
            <w:shd w:fill="auto" w:val="clea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D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de cálculos e</w:t>
            </w:r>
          </w:p>
          <w:p w:rsidR="00000000" w:rsidDel="00000000" w:rsidP="00000000" w:rsidRDefault="00000000" w:rsidRPr="00000000" w14:paraId="000000D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Incertidum-bre</w:t>
            </w:r>
          </w:p>
          <w:p w:rsidR="00000000" w:rsidDel="00000000" w:rsidP="00000000" w:rsidRDefault="00000000" w:rsidRPr="00000000" w14:paraId="000000D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P_Calculos</w:t>
            </w:r>
          </w:p>
        </w:tc>
        <w:tc>
          <w:tcPr>
            <w:shd w:fill="auto" w:val="clear"/>
          </w:tcPr>
          <w:p w:rsidR="00000000" w:rsidDel="00000000" w:rsidP="00000000" w:rsidRDefault="00000000" w:rsidRPr="00000000" w14:paraId="000000D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 que explica los procedimientos necesarios para efectuar el cálculo de emisiones GEI, la estimación de la incertidumbre y el análisis de categorías clave, empleando las hojas de cálculo creadas para tal fin y los algoritmos de programación requeridos para la estimación de la incertidumbre.</w:t>
            </w:r>
          </w:p>
        </w:tc>
      </w:tr>
      <w:tr>
        <w:trPr>
          <w:cantSplit w:val="0"/>
          <w:tblHeader w:val="0"/>
        </w:trPr>
        <w:tc>
          <w:tcPr>
            <w:vMerge w:val="continue"/>
            <w:shd w:fill="auto" w:val="clea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D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de compilación</w:t>
            </w:r>
          </w:p>
          <w:p w:rsidR="00000000" w:rsidDel="00000000" w:rsidP="00000000" w:rsidRDefault="00000000" w:rsidRPr="00000000" w14:paraId="000000D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 reportes:</w:t>
            </w:r>
          </w:p>
          <w:p w:rsidR="00000000" w:rsidDel="00000000" w:rsidP="00000000" w:rsidRDefault="00000000" w:rsidRPr="00000000" w14:paraId="000000D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P_ Compilación yReportes</w:t>
            </w:r>
          </w:p>
        </w:tc>
        <w:tc>
          <w:tcPr>
            <w:shd w:fill="auto" w:val="clear"/>
          </w:tcPr>
          <w:p w:rsidR="00000000" w:rsidDel="00000000" w:rsidP="00000000" w:rsidRDefault="00000000" w:rsidRPr="00000000" w14:paraId="000000E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Documento que explica los diferentes procesos para la compilación de bases de datos y de resultados y para la generación de diferentes reportes. Este protocolo tiene como anexos los algoritmos de programación empleados para las compilaciones.</w:t>
            </w:r>
          </w:p>
        </w:tc>
      </w:tr>
      <w:tr>
        <w:trPr>
          <w:cantSplit w:val="0"/>
          <w:tblHeader w:val="0"/>
        </w:trPr>
        <w:tc>
          <w:tcPr>
            <w:vMerge w:val="continue"/>
            <w:shd w:fill="auto"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E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de sistema de</w:t>
            </w:r>
          </w:p>
          <w:p w:rsidR="00000000" w:rsidDel="00000000" w:rsidP="00000000" w:rsidRDefault="00000000" w:rsidRPr="00000000" w14:paraId="000000E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archivo: P_Archivo</w:t>
            </w:r>
          </w:p>
        </w:tc>
        <w:tc>
          <w:tcPr>
            <w:shd w:fill="auto" w:val="clear"/>
          </w:tcPr>
          <w:p w:rsidR="00000000" w:rsidDel="00000000" w:rsidP="00000000" w:rsidRDefault="00000000" w:rsidRPr="00000000" w14:paraId="000000E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Protocolo que presenta la estructura del sistema de archivo de los documentos (protocolos, bases de datos, hojas de cálculo, tablas de reporte y otros).</w:t>
            </w:r>
          </w:p>
        </w:tc>
      </w:tr>
      <w:tr>
        <w:trPr>
          <w:cantSplit w:val="0"/>
          <w:tblHeader w:val="0"/>
        </w:trPr>
        <w:tc>
          <w:tcPr>
            <w:vMerge w:val="restart"/>
            <w:shd w:fill="auto" w:val="clear"/>
          </w:tcPr>
          <w:p w:rsidR="00000000" w:rsidDel="00000000" w:rsidP="00000000" w:rsidRDefault="00000000" w:rsidRPr="00000000" w14:paraId="000000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w:t>
            </w:r>
          </w:p>
          <w:p w:rsidR="00000000" w:rsidDel="00000000" w:rsidP="00000000" w:rsidRDefault="00000000" w:rsidRPr="00000000" w14:paraId="000000E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ASOCIADOS A LA</w:t>
            </w:r>
          </w:p>
          <w:p w:rsidR="00000000" w:rsidDel="00000000" w:rsidP="00000000" w:rsidRDefault="00000000" w:rsidRPr="00000000" w14:paraId="000000E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OPERACIÓN Y</w:t>
            </w:r>
          </w:p>
          <w:p w:rsidR="00000000" w:rsidDel="00000000" w:rsidP="00000000" w:rsidRDefault="00000000" w:rsidRPr="00000000" w14:paraId="000000E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ADMINISTRA-CIÓN</w:t>
            </w:r>
          </w:p>
          <w:p w:rsidR="00000000" w:rsidDel="00000000" w:rsidP="00000000" w:rsidRDefault="00000000" w:rsidRPr="00000000" w14:paraId="000000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 SINGEI</w:t>
            </w:r>
          </w:p>
        </w:tc>
        <w:tc>
          <w:tcPr>
            <w:shd w:fill="auto" w:val="clear"/>
          </w:tcPr>
          <w:p w:rsidR="00000000" w:rsidDel="00000000" w:rsidP="00000000" w:rsidRDefault="00000000" w:rsidRPr="00000000" w14:paraId="000000E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B0_Datos_ actividad</w:t>
            </w:r>
          </w:p>
        </w:tc>
        <w:tc>
          <w:tcPr>
            <w:shd w:fill="auto" w:val="clear"/>
          </w:tcPr>
          <w:p w:rsidR="00000000" w:rsidDel="00000000" w:rsidP="00000000" w:rsidRDefault="00000000" w:rsidRPr="00000000" w14:paraId="000000E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Primera base de datos de actividad (B0) en Excel, consolidada para la serie 1990 a 2018. Contiene los datos de actividad “crudos” (datos tal como se obtienen, capturan, recopilan y/o entrega la fuente de información). Se presenta por módulo IPCC.</w:t>
            </w:r>
          </w:p>
          <w:p w:rsidR="00000000" w:rsidDel="00000000" w:rsidP="00000000" w:rsidRDefault="00000000" w:rsidRPr="00000000" w14:paraId="000000E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esta base de datos, se hace referencia al archivo fuente de información, el cual se encuentra archivado en la carpeta Bibliografía.</w:t>
            </w:r>
          </w:p>
        </w:tc>
      </w:tr>
      <w:tr>
        <w:trPr>
          <w:cantSplit w:val="0"/>
          <w:tblHeader w:val="0"/>
        </w:trPr>
        <w:tc>
          <w:tcPr>
            <w:vMerge w:val="continue"/>
            <w:shd w:fill="auto" w:val="clea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E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B2_Datos_ actividad</w:t>
            </w:r>
          </w:p>
        </w:tc>
        <w:tc>
          <w:tcPr>
            <w:shd w:fill="auto" w:val="clear"/>
          </w:tcPr>
          <w:p w:rsidR="00000000" w:rsidDel="00000000" w:rsidP="00000000" w:rsidRDefault="00000000" w:rsidRPr="00000000" w14:paraId="000000E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Segunda base de datos de actividad (B2) en Excel, para la serie 1990 a 2018. Contiene los datos de actividad ya procesados y que son empleados en el cálculo. Se presenta por módulo IPCC.</w:t>
            </w:r>
          </w:p>
        </w:tc>
      </w:tr>
      <w:tr>
        <w:trPr>
          <w:cantSplit w:val="0"/>
          <w:tblHeader w:val="0"/>
        </w:trPr>
        <w:tc>
          <w:tcPr>
            <w:vMerge w:val="continue"/>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0F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F2_Factores</w:t>
            </w:r>
          </w:p>
        </w:tc>
        <w:tc>
          <w:tcPr>
            <w:shd w:fill="auto" w:val="clear"/>
          </w:tcPr>
          <w:p w:rsidR="00000000" w:rsidDel="00000000" w:rsidP="00000000" w:rsidRDefault="00000000" w:rsidRPr="00000000" w14:paraId="000000F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Base de datos de factores de emisión y otros factores, empleados para la estimación del INGEI de Colombia. Consolida los factores para todos los módulos y para la serie de tiempo 1990 – 2018.</w:t>
            </w:r>
          </w:p>
        </w:tc>
      </w:tr>
      <w:tr>
        <w:trPr>
          <w:cantSplit w:val="0"/>
          <w:tblHeader w:val="0"/>
        </w:trPr>
        <w:tc>
          <w:tcPr>
            <w:shd w:fill="auto" w:val="clear"/>
          </w:tcPr>
          <w:p w:rsidR="00000000" w:rsidDel="00000000" w:rsidP="00000000" w:rsidRDefault="00000000" w:rsidRPr="00000000" w14:paraId="000000F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HOJAS DE CÁLCULO</w:t>
            </w:r>
          </w:p>
        </w:tc>
        <w:tc>
          <w:tcPr>
            <w:shd w:fill="auto" w:val="clear"/>
          </w:tcPr>
          <w:p w:rsidR="00000000" w:rsidDel="00000000" w:rsidP="00000000" w:rsidRDefault="00000000" w:rsidRPr="00000000" w14:paraId="000000F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ENEcal</w:t>
            </w:r>
          </w:p>
          <w:p w:rsidR="00000000" w:rsidDel="00000000" w:rsidP="00000000" w:rsidRDefault="00000000" w:rsidRPr="00000000" w14:paraId="000000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IPPUcal</w:t>
            </w:r>
          </w:p>
          <w:p w:rsidR="00000000" w:rsidDel="00000000" w:rsidP="00000000" w:rsidRDefault="00000000" w:rsidRPr="00000000" w14:paraId="000000F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AFOLU1</w:t>
            </w:r>
          </w:p>
          <w:p w:rsidR="00000000" w:rsidDel="00000000" w:rsidP="00000000" w:rsidRDefault="00000000" w:rsidRPr="00000000" w14:paraId="000000F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AFOLU2</w:t>
            </w:r>
          </w:p>
          <w:p w:rsidR="00000000" w:rsidDel="00000000" w:rsidP="00000000" w:rsidRDefault="00000000" w:rsidRPr="00000000" w14:paraId="000000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REScal</w:t>
            </w:r>
          </w:p>
        </w:tc>
        <w:tc>
          <w:tcPr>
            <w:shd w:fill="auto" w:val="clear"/>
          </w:tcPr>
          <w:p w:rsidR="00000000" w:rsidDel="00000000" w:rsidP="00000000" w:rsidRDefault="00000000" w:rsidRPr="00000000" w14:paraId="000000F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Libros de cálculo para cada módulo, formulados y estandarizados de acuerdo con la metodología utilizada en el INGEI (Directrices IPCC 2006 y refinamientos 2019). Estos libros de cálculo se emplean en el INGEI de Colombia para estimar los inventarios a partir del año 2013.</w:t>
            </w:r>
          </w:p>
          <w:p w:rsidR="00000000" w:rsidDel="00000000" w:rsidP="00000000" w:rsidRDefault="00000000" w:rsidRPr="00000000" w14:paraId="000000F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Cada libro de cálculo contiene las siguientes hojas necesarias para realizar el cálculo, verificar su trazabilidad y realizar los respectivos controles de calidad: B0, B2, F2, CONTROL, CALCULO, HOJA DE REPORTE, und &amp; GWP.</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B0 y B2. Bases de datos de actividad (“crudos” y procesados respectivamente). En algunos casos en los libros de cálculo se encuentran pestañas con el procesamiento de los datos de actividad “crudos”. En otros casos, el procesamiento de los datos de actividad “crudos” se encuentran en archivos independientes archivados en la carpeta B2.</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F2. Base de datos de factores de emisión y otros factores empleados en la estimación de las emisiones del módulo, por año.</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Cálculo. Hoja formulada de acuerdo con la metodología de cálculo empleada para cada subcategoría. En algunos casos, se presentan archivos de cálculo adicionales, principalmente cuando la estimación se realiza a partir de un modelo.</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Hoja de reporte. Presenta la tabla de reporte de las emisiones de cada módulo por subcategoría. </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 &amp; GWP. Hoja con la información para la conversión de unidades y con los potenciales de calentamiento global del AR5 – IPCC.</w:t>
            </w:r>
          </w:p>
          <w:p w:rsidR="00000000" w:rsidDel="00000000" w:rsidP="00000000" w:rsidRDefault="00000000" w:rsidRPr="00000000" w14:paraId="0000010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la serie de tiempo 1990-2012, el INGEI cuenta con libros de cálculo basados en las plantillas EPA para la construcción de inventarios.</w:t>
            </w:r>
          </w:p>
        </w:tc>
      </w:tr>
      <w:tr>
        <w:trPr>
          <w:cantSplit w:val="0"/>
          <w:tblHeader w:val="0"/>
        </w:trPr>
        <w:tc>
          <w:tcPr>
            <w:shd w:fill="auto" w:val="clear"/>
          </w:tcPr>
          <w:p w:rsidR="00000000" w:rsidDel="00000000" w:rsidP="00000000" w:rsidRDefault="00000000" w:rsidRPr="00000000" w14:paraId="0000010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TABLAS DE REPORTE</w:t>
            </w:r>
          </w:p>
        </w:tc>
        <w:tc>
          <w:tcPr>
            <w:shd w:fill="auto" w:val="clear"/>
          </w:tcPr>
          <w:p w:rsidR="00000000" w:rsidDel="00000000" w:rsidP="00000000" w:rsidRDefault="00000000" w:rsidRPr="00000000" w14:paraId="0000010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ENEtr</w:t>
            </w:r>
          </w:p>
          <w:p w:rsidR="00000000" w:rsidDel="00000000" w:rsidP="00000000" w:rsidRDefault="00000000" w:rsidRPr="00000000" w14:paraId="0000010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IPPUtr</w:t>
            </w:r>
          </w:p>
          <w:p w:rsidR="00000000" w:rsidDel="00000000" w:rsidP="00000000" w:rsidRDefault="00000000" w:rsidRPr="00000000" w14:paraId="0000010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AFOLUtr</w:t>
            </w:r>
          </w:p>
          <w:p w:rsidR="00000000" w:rsidDel="00000000" w:rsidP="00000000" w:rsidRDefault="00000000" w:rsidRPr="00000000" w14:paraId="0000010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REStr</w:t>
            </w:r>
          </w:p>
          <w:p w:rsidR="00000000" w:rsidDel="00000000" w:rsidP="00000000" w:rsidRDefault="00000000" w:rsidRPr="00000000" w14:paraId="00000107">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TR_1990-2018</w:t>
            </w:r>
          </w:p>
          <w:p w:rsidR="00000000" w:rsidDel="00000000" w:rsidP="00000000" w:rsidRDefault="00000000" w:rsidRPr="00000000" w14:paraId="00000109">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 Categorías clave</w:t>
            </w:r>
          </w:p>
          <w:p w:rsidR="00000000" w:rsidDel="00000000" w:rsidP="00000000" w:rsidRDefault="00000000" w:rsidRPr="00000000" w14:paraId="0000010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 Incertidum-bre</w:t>
            </w:r>
          </w:p>
          <w:p w:rsidR="00000000" w:rsidDel="00000000" w:rsidP="00000000" w:rsidRDefault="00000000" w:rsidRPr="00000000" w14:paraId="0000010D">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E">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Método de Referencia</w:t>
            </w:r>
          </w:p>
        </w:tc>
        <w:tc>
          <w:tcPr>
            <w:shd w:fill="auto" w:val="clear"/>
          </w:tcPr>
          <w:p w:rsidR="00000000" w:rsidDel="00000000" w:rsidP="00000000" w:rsidRDefault="00000000" w:rsidRPr="00000000" w14:paraId="000001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Tablas de reporte con los resultados de las emisiones y absorciones de GEI (por gas y en CO2eq y totales) para la serie 1990-2018. Se presenta por módulo IPCC.</w:t>
            </w:r>
          </w:p>
          <w:p w:rsidR="00000000" w:rsidDel="00000000" w:rsidP="00000000" w:rsidRDefault="00000000" w:rsidRPr="00000000" w14:paraId="00000111">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Tabla de reporte del INGEI para la serie 1990-2018.</w:t>
            </w:r>
          </w:p>
          <w:p w:rsidR="00000000" w:rsidDel="00000000" w:rsidP="00000000" w:rsidRDefault="00000000" w:rsidRPr="00000000" w14:paraId="00000113">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Tablas de reporte que presentan los resultados de la estimación de la incertidumbre y de categorías clave del INGEI.</w:t>
            </w:r>
          </w:p>
          <w:p w:rsidR="00000000" w:rsidDel="00000000" w:rsidP="00000000" w:rsidRDefault="00000000" w:rsidRPr="00000000" w14:paraId="0000011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Método de Referencia. Hojas de cálculo con el desarrollo de la metodología y resultados.</w:t>
            </w:r>
          </w:p>
        </w:tc>
      </w:tr>
      <w:tr>
        <w:trPr>
          <w:cantSplit w:val="0"/>
          <w:tblHeader w:val="0"/>
        </w:trPr>
        <w:tc>
          <w:tcPr>
            <w:shd w:fill="auto" w:val="clear"/>
          </w:tcPr>
          <w:p w:rsidR="00000000" w:rsidDel="00000000" w:rsidP="00000000" w:rsidRDefault="00000000" w:rsidRPr="00000000" w14:paraId="0000011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BIBLIOGRAFÍA</w:t>
            </w:r>
          </w:p>
        </w:tc>
        <w:tc>
          <w:tcPr>
            <w:shd w:fill="auto" w:val="clear"/>
          </w:tcPr>
          <w:p w:rsidR="00000000" w:rsidDel="00000000" w:rsidP="00000000" w:rsidRDefault="00000000" w:rsidRPr="00000000" w14:paraId="0000011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shd w:fill="auto" w:val="clear"/>
          </w:tcPr>
          <w:p w:rsidR="00000000" w:rsidDel="00000000" w:rsidP="00000000" w:rsidRDefault="00000000" w:rsidRPr="00000000" w14:paraId="0000011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Archivos fuente de información (datos crudos) y literatura revisada que aporta a la construcción del INGEI. Se presenta por módulo IPCC.</w:t>
            </w:r>
          </w:p>
        </w:tc>
      </w:tr>
    </w:tbl>
    <w:p w:rsidR="00000000" w:rsidDel="00000000" w:rsidP="00000000" w:rsidRDefault="00000000" w:rsidRPr="00000000" w14:paraId="0000011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IDEAM et al. (2021) </w:t>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pStyle w:val="Heading2"/>
        <w:numPr>
          <w:ilvl w:val="1"/>
          <w:numId w:val="29"/>
        </w:numPr>
        <w:ind w:left="1080" w:hanging="720"/>
        <w:rPr/>
      </w:pPr>
      <w:bookmarkStart w:colFirst="0" w:colLast="0" w:name="_heading=h.46r0co2" w:id="11"/>
      <w:bookmarkEnd w:id="11"/>
      <w:r w:rsidDel="00000000" w:rsidR="00000000" w:rsidRPr="00000000">
        <w:rPr>
          <w:rtl w:val="0"/>
        </w:rPr>
        <w:t xml:space="preserve">Metodología</w:t>
      </w:r>
    </w:p>
    <w:p w:rsidR="00000000" w:rsidDel="00000000" w:rsidP="00000000" w:rsidRDefault="00000000" w:rsidRPr="00000000" w14:paraId="000001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INGEI de Colombia es elaborado siguiendo los métodos consignados en las “Directrices del IPCC de 2006 para los inventarios nacionales de gases de efecto invernadero”; además, para el BUR3 se siguieron en algunas subcategorías los Refinamientos de 2019 a las Directrices del IPCC de 2006. Por otro lado, para la estimación de la incertidumbre se tienen en cuenta “Las orientaciones del IPCC sobre las buenas prácticas y la gestión de la incertidumbre en los inventarios nacionales de gases de efecto invernadero”. </w:t>
      </w:r>
    </w:p>
    <w:p w:rsidR="00000000" w:rsidDel="00000000" w:rsidP="00000000" w:rsidRDefault="00000000" w:rsidRPr="00000000" w14:paraId="000001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Respecto al Inventario nacional de carbono negro y gases precursores de Colombia presentado en el BUR3, este es elaborado siguiendo los métodos y lineamientos establecidos en la “Guía técnica para la elaboración de inventario de emisiones de contaminantes atmosféricos conjunta EMEP/EEA” del año 2019 (en adelante Guidebook EMEP/EEA 2019) y se presenta de acuerdo con la nomenclatura NFR (acrónimo inglés de Nomenclature for Reporting). </w:t>
      </w:r>
    </w:p>
    <w:p w:rsidR="00000000" w:rsidDel="00000000" w:rsidP="00000000" w:rsidRDefault="00000000" w:rsidRPr="00000000" w14:paraId="000001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Anexo 1 se presentan las categorías y subcategorías por módulo estimadas en el último ciclo del INGEI, presentado ante la CMNUCC en el BUR3. Estas categorías y sus subcategorías hacen parte de la estructura del SINGEI bajo la cual se estarán desarrollando los procesos de alistamiento, recopilación, procesamiento, cálculos, validación, consolidación y reportes,etc. </w:t>
      </w:r>
    </w:p>
    <w:p w:rsidR="00000000" w:rsidDel="00000000" w:rsidP="00000000" w:rsidRDefault="00000000" w:rsidRPr="00000000" w14:paraId="000001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pStyle w:val="Heading1"/>
        <w:numPr>
          <w:ilvl w:val="0"/>
          <w:numId w:val="7"/>
        </w:numPr>
        <w:ind w:left="720" w:hanging="360"/>
        <w:rPr/>
      </w:pPr>
      <w:bookmarkStart w:colFirst="0" w:colLast="0" w:name="_heading=h.2lwamvv" w:id="12"/>
      <w:bookmarkEnd w:id="12"/>
      <w:r w:rsidDel="00000000" w:rsidR="00000000" w:rsidRPr="00000000">
        <w:rPr>
          <w:rtl w:val="0"/>
        </w:rPr>
        <w:t xml:space="preserve">REQUERIMIENTOS FUNCIONALES</w:t>
      </w:r>
    </w:p>
    <w:p w:rsidR="00000000" w:rsidDel="00000000" w:rsidP="00000000" w:rsidRDefault="00000000" w:rsidRPr="00000000" w14:paraId="000001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esta sección se describen las actividades que el sistema debe realizar, junto con los componentes y funciones necesarias para que la plataforma sea capaz de estimar el Inventario Nacional de Gases de Efecto Invernadero (INGEI) y el Inventario de Carbono Negro y otros contaminantes atmosféricos. Entre los requerimientos funcionales presentados en este documento se encuentran cada uno de los módulos que deben ser construidos dentro del SINGEI, así como las opciones de manejo de datos y ejecución de cálculos disponibles en cada uno. </w:t>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acuerdo con una primera revisión de los procesamientos especiales para los diferentes datos de actividad y de los cálculos por categorías, se estima que para el diseño del sistema se generarán aproximadamente:</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Historias de usuario de cálculos: 53. Son Historias de Usuario en las cuales se consignan los procesos a los cuales serán sometidos los datos y se detallan los cálculos que se realizarán para la estimación final del inventario nacional</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Historias de usuario transversales: 3</w:t>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Menú del sistema. Con secciones independientes por tipo de rol de usuario</w:t>
      </w:r>
    </w:p>
    <w:p w:rsidR="00000000" w:rsidDel="00000000" w:rsidP="00000000" w:rsidRDefault="00000000" w:rsidRPr="00000000" w14:paraId="000001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Notificaciones internas de la plataforma SINGEI</w:t>
      </w:r>
    </w:p>
    <w:p w:rsidR="00000000" w:rsidDel="00000000" w:rsidP="00000000" w:rsidRDefault="00000000" w:rsidRPr="00000000" w14:paraId="000001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Incertidumbre del inventario nacional</w:t>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rPr>
          <w:rFonts w:ascii="Arial" w:cs="Arial" w:eastAsia="Arial" w:hAnsi="Arial"/>
          <w:sz w:val="22"/>
          <w:szCs w:val="22"/>
        </w:rPr>
      </w:pPr>
      <w:r w:rsidDel="00000000" w:rsidR="00000000" w:rsidRPr="00000000">
        <w:rPr>
          <w:rFonts w:ascii="Arial" w:cs="Arial" w:eastAsia="Arial" w:hAnsi="Arial"/>
          <w:sz w:val="22"/>
          <w:szCs w:val="22"/>
          <w:rtl w:val="0"/>
        </w:rPr>
        <w:t xml:space="preserve">No obstante, esta estimación de historias de usuario es aproximada y debe ser validada durante la fase de análisis de la consultoría que se pretende contratar.</w:t>
      </w:r>
    </w:p>
    <w:p w:rsidR="00000000" w:rsidDel="00000000" w:rsidP="00000000" w:rsidRDefault="00000000" w:rsidRPr="00000000" w14:paraId="0000013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pStyle w:val="Heading2"/>
        <w:numPr>
          <w:ilvl w:val="1"/>
          <w:numId w:val="7"/>
        </w:numPr>
        <w:ind w:left="1080" w:hanging="720"/>
        <w:rPr/>
      </w:pPr>
      <w:bookmarkStart w:colFirst="0" w:colLast="0" w:name="_heading=h.111kx3o" w:id="13"/>
      <w:bookmarkEnd w:id="13"/>
      <w:r w:rsidDel="00000000" w:rsidR="00000000" w:rsidRPr="00000000">
        <w:rPr>
          <w:rtl w:val="0"/>
        </w:rPr>
        <w:t xml:space="preserve">Roles, usuarios y permisos </w:t>
      </w:r>
    </w:p>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los múltiples procesos que se deben realizar dentro de la plataforma (recolección, almacenamiento, procesamiento, consolidación de reportes, entre otros), se hace necesario establecer 8 roles de acceso al SINGEI: </w:t>
      </w:r>
      <w:r w:rsidDel="00000000" w:rsidR="00000000" w:rsidRPr="00000000">
        <w:rPr>
          <w:rFonts w:ascii="Arial" w:cs="Arial" w:eastAsia="Arial" w:hAnsi="Arial"/>
          <w:b w:val="1"/>
          <w:sz w:val="22"/>
          <w:szCs w:val="22"/>
          <w:rtl w:val="0"/>
        </w:rPr>
        <w:t xml:space="preserve">Entidad/proveedor</w:t>
      </w:r>
      <w:r w:rsidDel="00000000" w:rsidR="00000000" w:rsidRPr="00000000">
        <w:rPr>
          <w:rFonts w:ascii="Arial" w:cs="Arial" w:eastAsia="Arial" w:hAnsi="Arial"/>
          <w:sz w:val="22"/>
          <w:szCs w:val="22"/>
          <w:rtl w:val="0"/>
        </w:rPr>
        <w:t xml:space="preserve"> de información, </w:t>
      </w:r>
      <w:r w:rsidDel="00000000" w:rsidR="00000000" w:rsidRPr="00000000">
        <w:rPr>
          <w:rFonts w:ascii="Arial" w:cs="Arial" w:eastAsia="Arial" w:hAnsi="Arial"/>
          <w:b w:val="1"/>
          <w:sz w:val="22"/>
          <w:szCs w:val="22"/>
          <w:rtl w:val="0"/>
        </w:rPr>
        <w:t xml:space="preserve">Líder de sector</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Equipo técnico</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Líder Incertidumbre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Coordinador INGEI</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Revisor-QA/QC</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1"/>
          <w:sz w:val="22"/>
          <w:szCs w:val="22"/>
          <w:rtl w:val="0"/>
        </w:rPr>
        <w:t xml:space="preserve"> Consulta </w:t>
      </w:r>
      <w:r w:rsidDel="00000000" w:rsidR="00000000" w:rsidRPr="00000000">
        <w:rPr>
          <w:rFonts w:ascii="Arial" w:cs="Arial" w:eastAsia="Arial" w:hAnsi="Arial"/>
          <w:sz w:val="22"/>
          <w:szCs w:val="22"/>
          <w:rtl w:val="0"/>
        </w:rPr>
        <w:t xml:space="preserve">y</w:t>
      </w:r>
      <w:r w:rsidDel="00000000" w:rsidR="00000000" w:rsidRPr="00000000">
        <w:rPr>
          <w:rFonts w:ascii="Arial" w:cs="Arial" w:eastAsia="Arial" w:hAnsi="Arial"/>
          <w:b w:val="1"/>
          <w:sz w:val="22"/>
          <w:szCs w:val="22"/>
          <w:rtl w:val="0"/>
        </w:rPr>
        <w:t xml:space="preserve"> Administrador SINGEI</w:t>
      </w:r>
      <w:r w:rsidDel="00000000" w:rsidR="00000000" w:rsidRPr="00000000">
        <w:rPr>
          <w:rFonts w:ascii="Arial" w:cs="Arial" w:eastAsia="Arial" w:hAnsi="Arial"/>
          <w:sz w:val="22"/>
          <w:szCs w:val="22"/>
          <w:rtl w:val="0"/>
        </w:rPr>
        <w:t xml:space="preserve">. Cada rol de usuario tendrá diferentes permisos de acceso a las páginas/ventanas del sistema y, cada usuario tendrá disponibles permisos de revisión y edición en diferentes categorías/subcategorías, según le sean asignadas.</w:t>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Tabla 2-1 se resumen los permisos y acciones disponibles por módulo de trabajo para cada rol de usuario.</w:t>
      </w:r>
    </w:p>
    <w:p w:rsidR="00000000" w:rsidDel="00000000" w:rsidP="00000000" w:rsidRDefault="00000000" w:rsidRPr="00000000" w14:paraId="00000137">
      <w:pPr>
        <w:keepNext w:val="1"/>
        <w:pBdr>
          <w:top w:space="0" w:sz="0" w:val="nil"/>
          <w:left w:space="0" w:sz="0" w:val="nil"/>
          <w:bottom w:space="0" w:sz="0" w:val="nil"/>
          <w:right w:space="0" w:sz="0" w:val="nil"/>
          <w:between w:space="0" w:sz="0" w:val="nil"/>
        </w:pBdr>
        <w:rPr>
          <w:rFonts w:ascii="Arial" w:cs="Arial" w:eastAsia="Arial" w:hAnsi="Arial"/>
          <w:i w:val="1"/>
          <w:color w:val="44546a"/>
          <w:sz w:val="18"/>
          <w:szCs w:val="18"/>
        </w:rPr>
      </w:pPr>
      <w:r w:rsidDel="00000000" w:rsidR="00000000" w:rsidRPr="00000000">
        <w:rPr>
          <w:rtl w:val="0"/>
        </w:rPr>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l18frh" w:id="14"/>
      <w:bookmarkEnd w:id="1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2-1. Acciones y permisos que tendrá habilitados cada rol de usuario del SINGEI</w:t>
      </w:r>
    </w:p>
    <w:tbl>
      <w:tblPr>
        <w:tblStyle w:val="Table4"/>
        <w:tblW w:w="89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2693"/>
        <w:gridCol w:w="567"/>
        <w:gridCol w:w="567"/>
        <w:gridCol w:w="425"/>
        <w:gridCol w:w="567"/>
        <w:gridCol w:w="567"/>
        <w:gridCol w:w="709"/>
        <w:gridCol w:w="425"/>
        <w:gridCol w:w="425"/>
        <w:gridCol w:w="1560"/>
        <w:tblGridChange w:id="0">
          <w:tblGrid>
            <w:gridCol w:w="421"/>
            <w:gridCol w:w="2693"/>
            <w:gridCol w:w="567"/>
            <w:gridCol w:w="567"/>
            <w:gridCol w:w="425"/>
            <w:gridCol w:w="567"/>
            <w:gridCol w:w="567"/>
            <w:gridCol w:w="709"/>
            <w:gridCol w:w="425"/>
            <w:gridCol w:w="425"/>
            <w:gridCol w:w="1560"/>
          </w:tblGrid>
        </w:tblGridChange>
      </w:tblGrid>
      <w:tr>
        <w:trPr>
          <w:cantSplit w:val="1"/>
          <w:trHeight w:val="1914" w:hRule="atLeast"/>
          <w:tblHeader w:val="1"/>
        </w:trPr>
        <w:tc>
          <w:tcPr>
            <w:shd w:fill="deebf6" w:val="clear"/>
            <w:vAlign w:val="center"/>
          </w:tcPr>
          <w:p w:rsidR="00000000" w:rsidDel="00000000" w:rsidP="00000000" w:rsidRDefault="00000000" w:rsidRPr="00000000" w14:paraId="00000139">
            <w:pPr>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Módulo</w:t>
            </w:r>
          </w:p>
        </w:tc>
        <w:tc>
          <w:tcPr>
            <w:shd w:fill="deebf6" w:val="clear"/>
            <w:vAlign w:val="center"/>
          </w:tcPr>
          <w:p w:rsidR="00000000" w:rsidDel="00000000" w:rsidP="00000000" w:rsidRDefault="00000000" w:rsidRPr="00000000" w14:paraId="0000013A">
            <w:pPr>
              <w:spacing w:line="192" w:lineRule="auto"/>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Acciones/ Permiso</w:t>
            </w:r>
          </w:p>
        </w:tc>
        <w:tc>
          <w:tcPr>
            <w:shd w:fill="deebf6" w:val="clear"/>
            <w:vAlign w:val="center"/>
          </w:tcPr>
          <w:p w:rsidR="00000000" w:rsidDel="00000000" w:rsidP="00000000" w:rsidRDefault="00000000" w:rsidRPr="00000000" w14:paraId="0000013B">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Entidad/</w:t>
            </w:r>
          </w:p>
          <w:p w:rsidR="00000000" w:rsidDel="00000000" w:rsidP="00000000" w:rsidRDefault="00000000" w:rsidRPr="00000000" w14:paraId="0000013C">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Proveedor</w:t>
            </w:r>
          </w:p>
        </w:tc>
        <w:tc>
          <w:tcPr>
            <w:shd w:fill="deebf6" w:val="clear"/>
            <w:vAlign w:val="center"/>
          </w:tcPr>
          <w:p w:rsidR="00000000" w:rsidDel="00000000" w:rsidP="00000000" w:rsidRDefault="00000000" w:rsidRPr="00000000" w14:paraId="0000013D">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Líder de</w:t>
            </w:r>
          </w:p>
          <w:p w:rsidR="00000000" w:rsidDel="00000000" w:rsidP="00000000" w:rsidRDefault="00000000" w:rsidRPr="00000000" w14:paraId="0000013E">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sector</w:t>
            </w:r>
          </w:p>
        </w:tc>
        <w:tc>
          <w:tcPr>
            <w:shd w:fill="deebf6" w:val="clear"/>
            <w:vAlign w:val="center"/>
          </w:tcPr>
          <w:p w:rsidR="00000000" w:rsidDel="00000000" w:rsidP="00000000" w:rsidRDefault="00000000" w:rsidRPr="00000000" w14:paraId="0000013F">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Equipo técnico</w:t>
            </w:r>
          </w:p>
        </w:tc>
        <w:tc>
          <w:tcPr>
            <w:shd w:fill="deebf6" w:val="clear"/>
            <w:vAlign w:val="center"/>
          </w:tcPr>
          <w:p w:rsidR="00000000" w:rsidDel="00000000" w:rsidP="00000000" w:rsidRDefault="00000000" w:rsidRPr="00000000" w14:paraId="00000140">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Líder Incertidumbre</w:t>
            </w:r>
          </w:p>
        </w:tc>
        <w:tc>
          <w:tcPr>
            <w:shd w:fill="deebf6" w:val="clear"/>
            <w:vAlign w:val="center"/>
          </w:tcPr>
          <w:p w:rsidR="00000000" w:rsidDel="00000000" w:rsidP="00000000" w:rsidRDefault="00000000" w:rsidRPr="00000000" w14:paraId="00000141">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Coordinador</w:t>
            </w:r>
          </w:p>
          <w:p w:rsidR="00000000" w:rsidDel="00000000" w:rsidP="00000000" w:rsidRDefault="00000000" w:rsidRPr="00000000" w14:paraId="00000142">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INGEI</w:t>
            </w:r>
          </w:p>
        </w:tc>
        <w:tc>
          <w:tcPr>
            <w:shd w:fill="deebf6" w:val="clear"/>
            <w:vAlign w:val="center"/>
          </w:tcPr>
          <w:p w:rsidR="00000000" w:rsidDel="00000000" w:rsidP="00000000" w:rsidRDefault="00000000" w:rsidRPr="00000000" w14:paraId="00000143">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Revisor QA/QC**</w:t>
            </w:r>
          </w:p>
          <w:p w:rsidR="00000000" w:rsidDel="00000000" w:rsidP="00000000" w:rsidRDefault="00000000" w:rsidRPr="00000000" w14:paraId="00000144">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Carteras Ministeriales***</w:t>
            </w:r>
          </w:p>
        </w:tc>
        <w:tc>
          <w:tcPr>
            <w:shd w:fill="deebf6" w:val="clear"/>
            <w:vAlign w:val="center"/>
          </w:tcPr>
          <w:p w:rsidR="00000000" w:rsidDel="00000000" w:rsidP="00000000" w:rsidRDefault="00000000" w:rsidRPr="00000000" w14:paraId="00000145">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Consulta</w:t>
            </w:r>
          </w:p>
        </w:tc>
        <w:tc>
          <w:tcPr>
            <w:shd w:fill="deebf6" w:val="clear"/>
            <w:vAlign w:val="center"/>
          </w:tcPr>
          <w:p w:rsidR="00000000" w:rsidDel="00000000" w:rsidP="00000000" w:rsidRDefault="00000000" w:rsidRPr="00000000" w14:paraId="00000146">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Administrador</w:t>
            </w:r>
          </w:p>
        </w:tc>
        <w:tc>
          <w:tcPr>
            <w:shd w:fill="deebf6" w:val="clear"/>
            <w:vAlign w:val="center"/>
          </w:tcPr>
          <w:p w:rsidR="00000000" w:rsidDel="00000000" w:rsidP="00000000" w:rsidRDefault="00000000" w:rsidRPr="00000000" w14:paraId="00000147">
            <w:pPr>
              <w:spacing w:line="192" w:lineRule="auto"/>
              <w:ind w:left="113" w:right="113" w:firstLine="0"/>
              <w:jc w:val="center"/>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148">
            <w:pPr>
              <w:spacing w:line="192" w:lineRule="auto"/>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Observaciones</w:t>
            </w:r>
          </w:p>
        </w:tc>
      </w:tr>
      <w:tr>
        <w:trPr>
          <w:cantSplit w:val="0"/>
          <w:tblHeader w:val="0"/>
        </w:trPr>
        <w:tc>
          <w:tcPr>
            <w:vMerge w:val="restart"/>
            <w:shd w:fill="deebf6" w:val="clear"/>
          </w:tcPr>
          <w:p w:rsidR="00000000" w:rsidDel="00000000" w:rsidP="00000000" w:rsidRDefault="00000000" w:rsidRPr="00000000" w14:paraId="00000149">
            <w:pPr>
              <w:ind w:left="113" w:right="113" w:firstLine="0"/>
              <w:jc w:val="center"/>
              <w:rPr>
                <w:rFonts w:ascii="Arial" w:cs="Arial" w:eastAsia="Arial" w:hAnsi="Arial"/>
                <w:sz w:val="19"/>
                <w:szCs w:val="19"/>
              </w:rPr>
            </w:pPr>
            <w:r w:rsidDel="00000000" w:rsidR="00000000" w:rsidRPr="00000000">
              <w:rPr>
                <w:rFonts w:ascii="Arial" w:cs="Arial" w:eastAsia="Arial" w:hAnsi="Arial"/>
                <w:b w:val="1"/>
                <w:sz w:val="19"/>
                <w:szCs w:val="19"/>
                <w:rtl w:val="0"/>
              </w:rPr>
              <w:t xml:space="preserve">Datos de actividad</w:t>
            </w:r>
            <w:r w:rsidDel="00000000" w:rsidR="00000000" w:rsidRPr="00000000">
              <w:rPr>
                <w:rtl w:val="0"/>
              </w:rPr>
            </w:r>
          </w:p>
        </w:tc>
        <w:tc>
          <w:tcPr>
            <w:shd w:fill="deebf6" w:val="clear"/>
          </w:tcPr>
          <w:p w:rsidR="00000000" w:rsidDel="00000000" w:rsidP="00000000" w:rsidRDefault="00000000" w:rsidRPr="00000000" w14:paraId="0000014A">
            <w:pPr>
              <w:rPr>
                <w:rFonts w:ascii="Arial" w:cs="Arial" w:eastAsia="Arial" w:hAnsi="Arial"/>
                <w:sz w:val="19"/>
                <w:szCs w:val="19"/>
              </w:rPr>
            </w:pPr>
            <w:r w:rsidDel="00000000" w:rsidR="00000000" w:rsidRPr="00000000">
              <w:rPr>
                <w:rFonts w:ascii="Arial" w:cs="Arial" w:eastAsia="Arial" w:hAnsi="Arial"/>
                <w:sz w:val="19"/>
                <w:szCs w:val="19"/>
                <w:rtl w:val="0"/>
              </w:rPr>
              <w:t xml:space="preserve">Cargar registros de datos de actividad (formatos FU)</w:t>
            </w:r>
          </w:p>
        </w:tc>
        <w:tc>
          <w:tcP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4E">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4F">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0">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1">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2">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53">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55">
            <w:pPr>
              <w:rPr>
                <w:rFonts w:ascii="Arial" w:cs="Arial" w:eastAsia="Arial" w:hAnsi="Arial"/>
                <w:sz w:val="19"/>
                <w:szCs w:val="19"/>
              </w:rPr>
            </w:pPr>
            <w:r w:rsidDel="00000000" w:rsidR="00000000" w:rsidRPr="00000000">
              <w:rPr>
                <w:rFonts w:ascii="Arial" w:cs="Arial" w:eastAsia="Arial" w:hAnsi="Arial"/>
                <w:sz w:val="19"/>
                <w:szCs w:val="19"/>
                <w:rtl w:val="0"/>
              </w:rPr>
              <w:t xml:space="preserve">Revisar y consolidar bases B0</w:t>
            </w:r>
          </w:p>
        </w:tc>
        <w:tc>
          <w:tcP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59">
            <w:pP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15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B">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C">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5D">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5E">
            <w:pPr>
              <w:rPr>
                <w:rFonts w:ascii="Arial" w:cs="Arial" w:eastAsia="Arial" w:hAnsi="Arial"/>
                <w:sz w:val="18"/>
                <w:szCs w:val="18"/>
              </w:rPr>
            </w:pPr>
            <w:r w:rsidDel="00000000" w:rsidR="00000000" w:rsidRPr="00000000">
              <w:rPr>
                <w:rFonts w:ascii="Arial" w:cs="Arial" w:eastAsia="Arial" w:hAnsi="Arial"/>
                <w:sz w:val="18"/>
                <w:szCs w:val="18"/>
                <w:rtl w:val="0"/>
              </w:rPr>
              <w:t xml:space="preserve">*Sólo podrá ver/consultar la información, no aprobarla ni consolidar la base B0</w:t>
            </w:r>
          </w:p>
        </w:tc>
      </w:tr>
      <w:tr>
        <w:trPr>
          <w:cantSplit w:val="0"/>
          <w:tblHeader w:val="0"/>
        </w:trPr>
        <w:tc>
          <w:tcPr>
            <w:vMerge w:val="continue"/>
            <w:shd w:fill="deebf6" w:val="cle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160">
            <w:pPr>
              <w:rPr>
                <w:rFonts w:ascii="Arial" w:cs="Arial" w:eastAsia="Arial" w:hAnsi="Arial"/>
                <w:sz w:val="19"/>
                <w:szCs w:val="19"/>
              </w:rPr>
            </w:pPr>
            <w:r w:rsidDel="00000000" w:rsidR="00000000" w:rsidRPr="00000000">
              <w:rPr>
                <w:rFonts w:ascii="Arial" w:cs="Arial" w:eastAsia="Arial" w:hAnsi="Arial"/>
                <w:sz w:val="19"/>
                <w:szCs w:val="19"/>
                <w:rtl w:val="0"/>
              </w:rPr>
              <w:t xml:space="preserve">Preprocesar datos y consolidar bases “para cálculo” B2/ representación coherente de las tierras (como salida adicional al B2 en AFOLU)</w:t>
            </w:r>
          </w:p>
        </w:tc>
        <w:tc>
          <w:tcP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4">
            <w:pP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16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66">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67">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68">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69">
            <w:pPr>
              <w:rPr>
                <w:rFonts w:ascii="Arial" w:cs="Arial" w:eastAsia="Arial" w:hAnsi="Arial"/>
                <w:sz w:val="18"/>
                <w:szCs w:val="18"/>
              </w:rPr>
            </w:pPr>
            <w:r w:rsidDel="00000000" w:rsidR="00000000" w:rsidRPr="00000000">
              <w:rPr>
                <w:rFonts w:ascii="Arial" w:cs="Arial" w:eastAsia="Arial" w:hAnsi="Arial"/>
                <w:sz w:val="18"/>
                <w:szCs w:val="18"/>
                <w:rtl w:val="0"/>
              </w:rPr>
              <w:t xml:space="preserve">*Sólo podrá ver/consultar la información, no aprobarla ni consolidar la base B0</w:t>
            </w:r>
          </w:p>
        </w:tc>
      </w:tr>
      <w:tr>
        <w:trPr>
          <w:cantSplit w:val="0"/>
          <w:tblHeader w:val="0"/>
        </w:trPr>
        <w:tc>
          <w:tcPr>
            <w:vMerge w:val="continue"/>
            <w:shd w:fill="deebf6"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6B">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Consultar los scripts de procesamiento de DA</w:t>
            </w:r>
          </w:p>
        </w:tc>
        <w:tc>
          <w:tcP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6D">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E">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F">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7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7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72">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73">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74">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76">
            <w:pPr>
              <w:rPr>
                <w:rFonts w:ascii="Arial" w:cs="Arial" w:eastAsia="Arial" w:hAnsi="Arial"/>
                <w:sz w:val="19"/>
                <w:szCs w:val="19"/>
              </w:rPr>
            </w:pPr>
            <w:r w:rsidDel="00000000" w:rsidR="00000000" w:rsidRPr="00000000">
              <w:rPr>
                <w:rFonts w:ascii="Arial" w:cs="Arial" w:eastAsia="Arial" w:hAnsi="Arial"/>
                <w:sz w:val="19"/>
                <w:szCs w:val="19"/>
                <w:rtl w:val="0"/>
              </w:rPr>
              <w:t xml:space="preserve">Ver y descargar histórico de registros (FU, B0, B2)</w:t>
            </w:r>
          </w:p>
        </w:tc>
        <w:tc>
          <w:tcPr>
            <w:vAlign w:val="center"/>
          </w:tcPr>
          <w:p w:rsidR="00000000" w:rsidDel="00000000" w:rsidP="00000000" w:rsidRDefault="00000000" w:rsidRPr="00000000" w14:paraId="00000177">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17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9">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4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A">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5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B">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5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C">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5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D">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5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sz w:val="19"/>
                <w:szCs w:val="19"/>
                <w:rtl w:val="0"/>
              </w:rPr>
              <w:t xml:space="preserve">**</w:t>
            </w:r>
          </w:p>
        </w:tc>
        <w:tc>
          <w:tcPr>
            <w:vAlign w:val="center"/>
          </w:tcPr>
          <w:p w:rsidR="00000000" w:rsidDel="00000000" w:rsidP="00000000" w:rsidRDefault="00000000" w:rsidRPr="00000000" w14:paraId="0000017E">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5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7F">
            <w:pPr>
              <w:rPr>
                <w:rFonts w:ascii="Arial" w:cs="Arial" w:eastAsia="Arial" w:hAnsi="Arial"/>
                <w:sz w:val="18"/>
                <w:szCs w:val="18"/>
              </w:rPr>
            </w:pPr>
            <w:r w:rsidDel="00000000" w:rsidR="00000000" w:rsidRPr="00000000">
              <w:rPr>
                <w:rFonts w:ascii="Arial" w:cs="Arial" w:eastAsia="Arial" w:hAnsi="Arial"/>
                <w:sz w:val="18"/>
                <w:szCs w:val="18"/>
                <w:rtl w:val="0"/>
              </w:rPr>
              <w:t xml:space="preserve">* Sólo datos de su entidad, no podrá ver datos de otras entidades</w:t>
            </w:r>
          </w:p>
          <w:p w:rsidR="00000000" w:rsidDel="00000000" w:rsidP="00000000" w:rsidRDefault="00000000" w:rsidRPr="00000000" w14:paraId="00000180">
            <w:pPr>
              <w:rPr>
                <w:rFonts w:ascii="Arial" w:cs="Arial" w:eastAsia="Arial" w:hAnsi="Arial"/>
                <w:sz w:val="18"/>
                <w:szCs w:val="18"/>
              </w:rPr>
            </w:pPr>
            <w:r w:rsidDel="00000000" w:rsidR="00000000" w:rsidRPr="00000000">
              <w:rPr>
                <w:rFonts w:ascii="Arial" w:cs="Arial" w:eastAsia="Arial" w:hAnsi="Arial"/>
                <w:sz w:val="18"/>
                <w:szCs w:val="18"/>
                <w:rtl w:val="0"/>
              </w:rPr>
              <w:t xml:space="preserve">** Sólo base B2</w:t>
            </w:r>
          </w:p>
        </w:tc>
      </w:tr>
      <w:tr>
        <w:trPr>
          <w:cantSplit w:val="0"/>
          <w:tblHeader w:val="0"/>
        </w:trPr>
        <w:tc>
          <w:tcPr>
            <w:vMerge w:val="continue"/>
            <w:shd w:fill="deebf6" w:val="cle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182">
            <w:pPr>
              <w:rPr>
                <w:rFonts w:ascii="Arial" w:cs="Arial" w:eastAsia="Arial" w:hAnsi="Arial"/>
                <w:sz w:val="19"/>
                <w:szCs w:val="19"/>
              </w:rPr>
            </w:pPr>
            <w:r w:rsidDel="00000000" w:rsidR="00000000" w:rsidRPr="00000000">
              <w:rPr>
                <w:rFonts w:ascii="Arial" w:cs="Arial" w:eastAsia="Arial" w:hAnsi="Arial"/>
                <w:sz w:val="19"/>
                <w:szCs w:val="19"/>
                <w:rtl w:val="0"/>
              </w:rPr>
              <w:t xml:space="preserve">Autorizar actualización datos aprobados</w:t>
            </w:r>
          </w:p>
        </w:tc>
        <w:tc>
          <w:tcPr>
            <w:vAlign w:val="center"/>
          </w:tcPr>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84">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5">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86">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87">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88">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189">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8A">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8B">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8D">
            <w:pPr>
              <w:rPr>
                <w:rFonts w:ascii="Arial" w:cs="Arial" w:eastAsia="Arial" w:hAnsi="Arial"/>
                <w:sz w:val="19"/>
                <w:szCs w:val="19"/>
              </w:rPr>
            </w:pPr>
            <w:r w:rsidDel="00000000" w:rsidR="00000000" w:rsidRPr="00000000">
              <w:rPr>
                <w:rFonts w:ascii="Arial" w:cs="Arial" w:eastAsia="Arial" w:hAnsi="Arial"/>
                <w:sz w:val="19"/>
                <w:szCs w:val="19"/>
                <w:rtl w:val="0"/>
              </w:rPr>
              <w:t xml:space="preserve">Actualizar registros de datos de actividad</w:t>
            </w:r>
          </w:p>
        </w:tc>
        <w:tc>
          <w:tcPr>
            <w:vAlign w:val="center"/>
          </w:tcPr>
          <w:p w:rsidR="00000000" w:rsidDel="00000000" w:rsidP="00000000" w:rsidRDefault="00000000" w:rsidRPr="00000000" w14:paraId="0000018E">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8F">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1">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2">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3">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4">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6">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98">
            <w:pPr>
              <w:rPr>
                <w:rFonts w:ascii="Arial" w:cs="Arial" w:eastAsia="Arial" w:hAnsi="Arial"/>
                <w:sz w:val="19"/>
                <w:szCs w:val="19"/>
              </w:rPr>
            </w:pPr>
            <w:r w:rsidDel="00000000" w:rsidR="00000000" w:rsidRPr="00000000">
              <w:rPr>
                <w:rFonts w:ascii="Arial" w:cs="Arial" w:eastAsia="Arial" w:hAnsi="Arial"/>
                <w:sz w:val="19"/>
                <w:szCs w:val="19"/>
                <w:rtl w:val="0"/>
              </w:rPr>
              <w:t xml:space="preserve">Selección preliminar de información a clasificar como “pública” o “en reserva”</w:t>
            </w:r>
          </w:p>
        </w:tc>
        <w:tc>
          <w:tcPr>
            <w:vAlign w:val="center"/>
          </w:tcPr>
          <w:p w:rsidR="00000000" w:rsidDel="00000000" w:rsidP="00000000" w:rsidRDefault="00000000" w:rsidRPr="00000000" w14:paraId="00000199">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A">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B">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9C">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D">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E">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9F">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0">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1">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A3">
            <w:pPr>
              <w:rPr>
                <w:rFonts w:ascii="Arial" w:cs="Arial" w:eastAsia="Arial" w:hAnsi="Arial"/>
                <w:sz w:val="19"/>
                <w:szCs w:val="19"/>
              </w:rPr>
            </w:pPr>
            <w:r w:rsidDel="00000000" w:rsidR="00000000" w:rsidRPr="00000000">
              <w:rPr>
                <w:rFonts w:ascii="Arial" w:cs="Arial" w:eastAsia="Arial" w:hAnsi="Arial"/>
                <w:sz w:val="19"/>
                <w:szCs w:val="19"/>
                <w:rtl w:val="0"/>
              </w:rPr>
              <w:t xml:space="preserve">Calificar información como “pública” o “en reserva”</w:t>
            </w:r>
          </w:p>
        </w:tc>
        <w:tc>
          <w:tcPr>
            <w:vAlign w:val="center"/>
          </w:tcPr>
          <w:p w:rsidR="00000000" w:rsidDel="00000000" w:rsidP="00000000" w:rsidRDefault="00000000" w:rsidRPr="00000000" w14:paraId="000001A4">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5">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6">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7">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8">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A9">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B">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AC">
            <w:pPr>
              <w:jc w:val="center"/>
              <w:rPr>
                <w:rFonts w:ascii="Arial" w:cs="Arial" w:eastAsia="Arial" w:hAnsi="Arial"/>
                <w:sz w:val="18"/>
                <w:szCs w:val="18"/>
              </w:rPr>
            </w:pPr>
            <w:r w:rsidDel="00000000" w:rsidR="00000000" w:rsidRPr="00000000">
              <w:rPr>
                <w:rtl w:val="0"/>
              </w:rPr>
            </w:r>
          </w:p>
        </w:tc>
      </w:tr>
      <w:tr>
        <w:trPr>
          <w:cantSplit w:val="0"/>
          <w:tblHeader w:val="0"/>
        </w:trPr>
        <w:tc>
          <w:tcPr>
            <w:vMerge w:val="restart"/>
            <w:shd w:fill="deebf6" w:val="clear"/>
          </w:tcPr>
          <w:p w:rsidR="00000000" w:rsidDel="00000000" w:rsidP="00000000" w:rsidRDefault="00000000" w:rsidRPr="00000000" w14:paraId="000001AD">
            <w:pPr>
              <w:ind w:left="113" w:right="113" w:firstLine="0"/>
              <w:jc w:val="center"/>
              <w:rPr>
                <w:rFonts w:ascii="Arial" w:cs="Arial" w:eastAsia="Arial" w:hAnsi="Arial"/>
                <w:b w:val="1"/>
                <w:sz w:val="19"/>
                <w:szCs w:val="19"/>
              </w:rPr>
            </w:pPr>
            <w:r w:rsidDel="00000000" w:rsidR="00000000" w:rsidRPr="00000000">
              <w:rPr>
                <w:rFonts w:ascii="Arial" w:cs="Arial" w:eastAsia="Arial" w:hAnsi="Arial"/>
                <w:b w:val="1"/>
                <w:sz w:val="19"/>
                <w:szCs w:val="19"/>
                <w:rtl w:val="0"/>
              </w:rPr>
              <w:t xml:space="preserve">Factores</w:t>
            </w:r>
          </w:p>
        </w:tc>
        <w:tc>
          <w:tcPr>
            <w:shd w:fill="deebf6" w:val="clear"/>
            <w:vAlign w:val="center"/>
          </w:tcPr>
          <w:p w:rsidR="00000000" w:rsidDel="00000000" w:rsidP="00000000" w:rsidRDefault="00000000" w:rsidRPr="00000000" w14:paraId="000001AE">
            <w:pPr>
              <w:rPr>
                <w:rFonts w:ascii="Arial" w:cs="Arial" w:eastAsia="Arial" w:hAnsi="Arial"/>
                <w:sz w:val="19"/>
                <w:szCs w:val="19"/>
              </w:rPr>
            </w:pPr>
            <w:r w:rsidDel="00000000" w:rsidR="00000000" w:rsidRPr="00000000">
              <w:rPr>
                <w:rFonts w:ascii="Arial" w:cs="Arial" w:eastAsia="Arial" w:hAnsi="Arial"/>
                <w:sz w:val="19"/>
                <w:szCs w:val="19"/>
                <w:rtl w:val="0"/>
              </w:rPr>
              <w:t xml:space="preserve">Adicionar factores</w:t>
            </w:r>
          </w:p>
        </w:tc>
        <w:tc>
          <w:tcPr>
            <w:vAlign w:val="center"/>
          </w:tcPr>
          <w:p w:rsidR="00000000" w:rsidDel="00000000" w:rsidP="00000000" w:rsidRDefault="00000000" w:rsidRPr="00000000" w14:paraId="000001AF">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3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2">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3">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4">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6">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7">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B9">
            <w:pPr>
              <w:rPr>
                <w:rFonts w:ascii="Arial" w:cs="Arial" w:eastAsia="Arial" w:hAnsi="Arial"/>
                <w:sz w:val="19"/>
                <w:szCs w:val="19"/>
              </w:rPr>
            </w:pPr>
            <w:r w:rsidDel="00000000" w:rsidR="00000000" w:rsidRPr="00000000">
              <w:rPr>
                <w:rFonts w:ascii="Arial" w:cs="Arial" w:eastAsia="Arial" w:hAnsi="Arial"/>
                <w:sz w:val="19"/>
                <w:szCs w:val="19"/>
                <w:rtl w:val="0"/>
              </w:rPr>
              <w:t xml:space="preserve">Actualizar factores</w:t>
            </w:r>
          </w:p>
        </w:tc>
        <w:tc>
          <w:tcPr>
            <w:vAlign w:val="center"/>
          </w:tcPr>
          <w:p w:rsidR="00000000" w:rsidDel="00000000" w:rsidP="00000000" w:rsidRDefault="00000000" w:rsidRPr="00000000" w14:paraId="000001B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B">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C">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BD">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E">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BF">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0">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1">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2">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C4">
            <w:pPr>
              <w:rPr>
                <w:rFonts w:ascii="Arial" w:cs="Arial" w:eastAsia="Arial" w:hAnsi="Arial"/>
                <w:sz w:val="19"/>
                <w:szCs w:val="19"/>
              </w:rPr>
            </w:pPr>
            <w:r w:rsidDel="00000000" w:rsidR="00000000" w:rsidRPr="00000000">
              <w:rPr>
                <w:rFonts w:ascii="Arial" w:cs="Arial" w:eastAsia="Arial" w:hAnsi="Arial"/>
                <w:sz w:val="19"/>
                <w:szCs w:val="19"/>
                <w:rtl w:val="0"/>
              </w:rPr>
              <w:t xml:space="preserve">Revisar factores</w:t>
            </w:r>
          </w:p>
        </w:tc>
        <w:tc>
          <w:tcPr>
            <w:vAlign w:val="center"/>
          </w:tcPr>
          <w:p w:rsidR="00000000" w:rsidDel="00000000" w:rsidP="00000000" w:rsidRDefault="00000000" w:rsidRPr="00000000" w14:paraId="000001C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6">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7">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8">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sz w:val="19"/>
                <w:szCs w:val="19"/>
                <w:rtl w:val="0"/>
              </w:rPr>
              <w:t xml:space="preserve">*</w:t>
            </w:r>
          </w:p>
        </w:tc>
        <w:tc>
          <w:tcPr>
            <w:vAlign w:val="center"/>
          </w:tcPr>
          <w:p w:rsidR="00000000" w:rsidDel="00000000" w:rsidP="00000000" w:rsidRDefault="00000000" w:rsidRPr="00000000" w14:paraId="000001C9">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C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B">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CC">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CD">
            <w:pPr>
              <w:rPr>
                <w:rFonts w:ascii="Arial" w:cs="Arial" w:eastAsia="Arial" w:hAnsi="Arial"/>
                <w:sz w:val="18"/>
                <w:szCs w:val="18"/>
              </w:rPr>
            </w:pPr>
            <w:r w:rsidDel="00000000" w:rsidR="00000000" w:rsidRPr="00000000">
              <w:rPr>
                <w:rFonts w:ascii="Arial" w:cs="Arial" w:eastAsia="Arial" w:hAnsi="Arial"/>
                <w:sz w:val="18"/>
                <w:szCs w:val="18"/>
                <w:rtl w:val="0"/>
              </w:rPr>
              <w:t xml:space="preserve">* Revisión de incertidumbre asociada al factor</w:t>
            </w:r>
          </w:p>
        </w:tc>
      </w:tr>
      <w:tr>
        <w:trPr>
          <w:cantSplit w:val="0"/>
          <w:tblHeader w:val="0"/>
        </w:trPr>
        <w:tc>
          <w:tcPr>
            <w:vMerge w:val="continue"/>
            <w:shd w:fill="deebf6" w:val="clea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1CF">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Consultar factores históricos</w:t>
            </w:r>
          </w:p>
        </w:tc>
        <w:tc>
          <w:tcPr>
            <w:vAlign w:val="center"/>
          </w:tcPr>
          <w:p w:rsidR="00000000" w:rsidDel="00000000" w:rsidP="00000000" w:rsidRDefault="00000000" w:rsidRPr="00000000" w14:paraId="000001D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1D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4">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5">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5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6">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5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1D7">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5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8">
            <w:pPr>
              <w:rPr>
                <w:rFonts w:ascii="Arial" w:cs="Arial" w:eastAsia="Arial" w:hAnsi="Arial"/>
                <w:sz w:val="18"/>
                <w:szCs w:val="18"/>
              </w:rPr>
            </w:pPr>
            <w:r w:rsidDel="00000000" w:rsidR="00000000" w:rsidRPr="00000000">
              <w:rPr>
                <w:rFonts w:ascii="Arial" w:cs="Arial" w:eastAsia="Arial" w:hAnsi="Arial"/>
                <w:sz w:val="18"/>
                <w:szCs w:val="18"/>
                <w:rtl w:val="0"/>
              </w:rPr>
              <w:t xml:space="preserve">* Marcado como información pública</w:t>
            </w:r>
          </w:p>
        </w:tc>
      </w:tr>
      <w:tr>
        <w:trPr>
          <w:cantSplit w:val="0"/>
          <w:tblHeader w:val="0"/>
        </w:trPr>
        <w:tc>
          <w:tcPr>
            <w:vMerge w:val="continue"/>
            <w:shd w:fill="deebf6" w:val="clear"/>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DA">
            <w:pPr>
              <w:rPr>
                <w:rFonts w:ascii="Arial" w:cs="Arial" w:eastAsia="Arial" w:hAnsi="Arial"/>
                <w:sz w:val="19"/>
                <w:szCs w:val="19"/>
              </w:rPr>
            </w:pPr>
            <w:r w:rsidDel="00000000" w:rsidR="00000000" w:rsidRPr="00000000">
              <w:rPr>
                <w:rFonts w:ascii="Arial" w:cs="Arial" w:eastAsia="Arial" w:hAnsi="Arial"/>
                <w:sz w:val="19"/>
                <w:szCs w:val="19"/>
                <w:rtl w:val="0"/>
              </w:rPr>
              <w:t xml:space="preserve">Selección preliminar de información a clasificar como “pública” o “en reserva”</w:t>
            </w:r>
          </w:p>
        </w:tc>
        <w:tc>
          <w:tcPr>
            <w:vAlign w:val="center"/>
          </w:tcPr>
          <w:p w:rsidR="00000000" w:rsidDel="00000000" w:rsidP="00000000" w:rsidRDefault="00000000" w:rsidRPr="00000000" w14:paraId="000001DB">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DC">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5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D">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5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DE">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DF">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0">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1">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2">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E3">
            <w:pP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E5">
            <w:pPr>
              <w:rPr>
                <w:rFonts w:ascii="Arial" w:cs="Arial" w:eastAsia="Arial" w:hAnsi="Arial"/>
                <w:sz w:val="19"/>
                <w:szCs w:val="19"/>
              </w:rPr>
            </w:pPr>
            <w:r w:rsidDel="00000000" w:rsidR="00000000" w:rsidRPr="00000000">
              <w:rPr>
                <w:rFonts w:ascii="Arial" w:cs="Arial" w:eastAsia="Arial" w:hAnsi="Arial"/>
                <w:sz w:val="19"/>
                <w:szCs w:val="19"/>
                <w:rtl w:val="0"/>
              </w:rPr>
              <w:t xml:space="preserve">Calificar información como “pública” o “en reserva”</w:t>
            </w:r>
          </w:p>
        </w:tc>
        <w:tc>
          <w:tcPr>
            <w:vAlign w:val="center"/>
          </w:tcPr>
          <w:p w:rsidR="00000000" w:rsidDel="00000000" w:rsidP="00000000" w:rsidRDefault="00000000" w:rsidRPr="00000000" w14:paraId="000001E6">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7">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9">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A">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EB">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C">
            <w:pPr>
              <w:pBdr>
                <w:top w:space="0" w:sz="0" w:val="nil"/>
                <w:left w:space="0" w:sz="0" w:val="nil"/>
                <w:bottom w:space="0" w:sz="0" w:val="nil"/>
                <w:right w:space="0" w:sz="0" w:val="nil"/>
                <w:between w:space="0" w:sz="0" w:val="nil"/>
              </w:pBd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ED">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EE">
            <w:pPr>
              <w:rPr>
                <w:rFonts w:ascii="Arial" w:cs="Arial" w:eastAsia="Arial" w:hAnsi="Arial"/>
                <w:sz w:val="18"/>
                <w:szCs w:val="18"/>
              </w:rPr>
            </w:pPr>
            <w:r w:rsidDel="00000000" w:rsidR="00000000" w:rsidRPr="00000000">
              <w:rPr>
                <w:rtl w:val="0"/>
              </w:rPr>
            </w:r>
          </w:p>
        </w:tc>
      </w:tr>
      <w:tr>
        <w:trPr>
          <w:cantSplit w:val="0"/>
          <w:tblHeader w:val="0"/>
        </w:trPr>
        <w:tc>
          <w:tcPr>
            <w:vMerge w:val="restart"/>
            <w:shd w:fill="deebf6" w:val="clear"/>
          </w:tcPr>
          <w:p w:rsidR="00000000" w:rsidDel="00000000" w:rsidP="00000000" w:rsidRDefault="00000000" w:rsidRPr="00000000" w14:paraId="000001EF">
            <w:pPr>
              <w:ind w:left="113" w:right="113" w:firstLine="0"/>
              <w:jc w:val="center"/>
              <w:rPr>
                <w:rFonts w:ascii="Arial" w:cs="Arial" w:eastAsia="Arial" w:hAnsi="Arial"/>
                <w:sz w:val="19"/>
                <w:szCs w:val="19"/>
              </w:rPr>
            </w:pPr>
            <w:r w:rsidDel="00000000" w:rsidR="00000000" w:rsidRPr="00000000">
              <w:rPr>
                <w:rFonts w:ascii="Arial" w:cs="Arial" w:eastAsia="Arial" w:hAnsi="Arial"/>
                <w:b w:val="1"/>
                <w:sz w:val="19"/>
                <w:szCs w:val="19"/>
                <w:rtl w:val="0"/>
              </w:rPr>
              <w:t xml:space="preserve">Incertidumbre</w:t>
            </w:r>
            <w:r w:rsidDel="00000000" w:rsidR="00000000" w:rsidRPr="00000000">
              <w:rPr>
                <w:rtl w:val="0"/>
              </w:rPr>
            </w:r>
          </w:p>
        </w:tc>
        <w:tc>
          <w:tcPr>
            <w:shd w:fill="deebf6" w:val="clear"/>
          </w:tcPr>
          <w:p w:rsidR="00000000" w:rsidDel="00000000" w:rsidP="00000000" w:rsidRDefault="00000000" w:rsidRPr="00000000" w14:paraId="000001F0">
            <w:pPr>
              <w:rPr>
                <w:rFonts w:ascii="Arial" w:cs="Arial" w:eastAsia="Arial" w:hAnsi="Arial"/>
                <w:sz w:val="19"/>
                <w:szCs w:val="19"/>
              </w:rPr>
            </w:pPr>
            <w:r w:rsidDel="00000000" w:rsidR="00000000" w:rsidRPr="00000000">
              <w:rPr>
                <w:rFonts w:ascii="Arial" w:cs="Arial" w:eastAsia="Arial" w:hAnsi="Arial"/>
                <w:sz w:val="19"/>
                <w:szCs w:val="19"/>
                <w:rtl w:val="0"/>
              </w:rPr>
              <w:t xml:space="preserve">Actualizar incertidumbre</w:t>
            </w:r>
          </w:p>
        </w:tc>
        <w:tc>
          <w:tcPr>
            <w:vAlign w:val="center"/>
          </w:tcPr>
          <w:p w:rsidR="00000000" w:rsidDel="00000000" w:rsidP="00000000" w:rsidRDefault="00000000" w:rsidRPr="00000000" w14:paraId="000001F1">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2">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3">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4">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F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6">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7">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8">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1F9">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1FB">
            <w:pPr>
              <w:rPr>
                <w:rFonts w:ascii="Arial" w:cs="Arial" w:eastAsia="Arial" w:hAnsi="Arial"/>
                <w:sz w:val="19"/>
                <w:szCs w:val="19"/>
              </w:rPr>
            </w:pPr>
            <w:r w:rsidDel="00000000" w:rsidR="00000000" w:rsidRPr="00000000">
              <w:rPr>
                <w:rFonts w:ascii="Arial" w:cs="Arial" w:eastAsia="Arial" w:hAnsi="Arial"/>
                <w:sz w:val="19"/>
                <w:szCs w:val="19"/>
                <w:rtl w:val="0"/>
              </w:rPr>
              <w:t xml:space="preserve">Editar los scripts de estimación de incertidumbre asociada a emisiones</w:t>
            </w:r>
          </w:p>
        </w:tc>
        <w:tc>
          <w:tcPr>
            <w:vAlign w:val="center"/>
          </w:tcPr>
          <w:p w:rsidR="00000000" w:rsidDel="00000000" w:rsidP="00000000" w:rsidRDefault="00000000" w:rsidRPr="00000000" w14:paraId="000001FC">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D">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E">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0">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1">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2">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3">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sz w:val="19"/>
                <w:szCs w:val="19"/>
                <w:rtl w:val="0"/>
              </w:rPr>
              <w:t xml:space="preserve">*</w:t>
            </w:r>
          </w:p>
        </w:tc>
        <w:tc>
          <w:tcPr/>
          <w:p w:rsidR="00000000" w:rsidDel="00000000" w:rsidP="00000000" w:rsidRDefault="00000000" w:rsidRPr="00000000" w14:paraId="00000204">
            <w:pPr>
              <w:rPr>
                <w:rFonts w:ascii="Arial" w:cs="Arial" w:eastAsia="Arial" w:hAnsi="Arial"/>
                <w:sz w:val="18"/>
                <w:szCs w:val="18"/>
              </w:rPr>
            </w:pPr>
            <w:r w:rsidDel="00000000" w:rsidR="00000000" w:rsidRPr="00000000">
              <w:rPr>
                <w:rFonts w:ascii="Arial" w:cs="Arial" w:eastAsia="Arial" w:hAnsi="Arial"/>
                <w:sz w:val="18"/>
                <w:szCs w:val="18"/>
                <w:rtl w:val="0"/>
              </w:rPr>
              <w:t xml:space="preserve">* Podrá hacer cualquier modificación dentro de los script de cálculo, solicitada por el equipo técnico</w:t>
            </w:r>
          </w:p>
        </w:tc>
      </w:tr>
      <w:tr>
        <w:trPr>
          <w:cantSplit w:val="0"/>
          <w:tblHeader w:val="0"/>
        </w:trPr>
        <w:tc>
          <w:tcPr>
            <w:vMerge w:val="continue"/>
            <w:shd w:fill="deebf6"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06">
            <w:pPr>
              <w:rPr>
                <w:rFonts w:ascii="Arial" w:cs="Arial" w:eastAsia="Arial" w:hAnsi="Arial"/>
                <w:sz w:val="19"/>
                <w:szCs w:val="19"/>
              </w:rPr>
            </w:pPr>
            <w:r w:rsidDel="00000000" w:rsidR="00000000" w:rsidRPr="00000000">
              <w:rPr>
                <w:rFonts w:ascii="Arial" w:cs="Arial" w:eastAsia="Arial" w:hAnsi="Arial"/>
                <w:sz w:val="19"/>
                <w:szCs w:val="19"/>
                <w:rtl w:val="0"/>
              </w:rPr>
              <w:t xml:space="preserve">Revisar incertidumbre</w:t>
            </w:r>
          </w:p>
        </w:tc>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6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0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B">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0C">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D">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0E">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0F">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11">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Consultar valores de incertidumbre históricos</w:t>
            </w:r>
          </w:p>
        </w:tc>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sz w:val="19"/>
                <w:szCs w:val="19"/>
                <w:rtl w:val="0"/>
              </w:rPr>
              <w:t xml:space="preserve">*</w:t>
            </w:r>
            <w:r w:rsidDel="00000000" w:rsidR="00000000" w:rsidRPr="00000000">
              <w:rPr>
                <w:rtl w:val="0"/>
              </w:rPr>
            </w:r>
          </w:p>
        </w:tc>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4">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5">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6">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7">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18">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sz w:val="19"/>
                <w:szCs w:val="19"/>
                <w:rtl w:val="0"/>
              </w:rPr>
              <w:t xml:space="preserve">*</w:t>
            </w:r>
          </w:p>
        </w:tc>
        <w:tc>
          <w:tcPr>
            <w:vAlign w:val="center"/>
          </w:tcPr>
          <w:p w:rsidR="00000000" w:rsidDel="00000000" w:rsidP="00000000" w:rsidRDefault="00000000" w:rsidRPr="00000000" w14:paraId="00000219">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A">
            <w:pPr>
              <w:rPr>
                <w:rFonts w:ascii="Arial" w:cs="Arial" w:eastAsia="Arial" w:hAnsi="Arial"/>
                <w:sz w:val="17"/>
                <w:szCs w:val="17"/>
              </w:rPr>
            </w:pPr>
            <w:r w:rsidDel="00000000" w:rsidR="00000000" w:rsidRPr="00000000">
              <w:rPr>
                <w:rFonts w:ascii="Arial" w:cs="Arial" w:eastAsia="Arial" w:hAnsi="Arial"/>
                <w:sz w:val="17"/>
                <w:szCs w:val="17"/>
                <w:rtl w:val="0"/>
              </w:rPr>
              <w:t xml:space="preserve">* Clasificados como información pública</w:t>
            </w:r>
          </w:p>
        </w:tc>
      </w:tr>
      <w:tr>
        <w:trPr>
          <w:cantSplit w:val="0"/>
          <w:tblHeader w:val="0"/>
        </w:trPr>
        <w:tc>
          <w:tcPr>
            <w:vMerge w:val="continue"/>
            <w:shd w:fill="deebf6" w:val="clea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7"/>
                <w:szCs w:val="17"/>
              </w:rPr>
            </w:pPr>
            <w:r w:rsidDel="00000000" w:rsidR="00000000" w:rsidRPr="00000000">
              <w:rPr>
                <w:rtl w:val="0"/>
              </w:rPr>
            </w:r>
          </w:p>
        </w:tc>
        <w:tc>
          <w:tcPr>
            <w:shd w:fill="deebf6" w:val="clear"/>
          </w:tcPr>
          <w:p w:rsidR="00000000" w:rsidDel="00000000" w:rsidP="00000000" w:rsidRDefault="00000000" w:rsidRPr="00000000" w14:paraId="0000021C">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Consultar los scripts de cálculo de estimación de incertidumbre</w:t>
            </w:r>
          </w:p>
        </w:tc>
        <w:tc>
          <w:tcPr>
            <w:vAlign w:val="center"/>
          </w:tcPr>
          <w:p w:rsidR="00000000" w:rsidDel="00000000" w:rsidP="00000000" w:rsidRDefault="00000000" w:rsidRPr="00000000" w14:paraId="0000021D">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1E">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1F">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2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23">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24">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5">
            <w:pPr>
              <w:jc w:val="center"/>
              <w:rPr>
                <w:rFonts w:ascii="Arial" w:cs="Arial" w:eastAsia="Arial" w:hAnsi="Arial"/>
                <w:sz w:val="18"/>
                <w:szCs w:val="18"/>
              </w:rPr>
            </w:pPr>
            <w:r w:rsidDel="00000000" w:rsidR="00000000" w:rsidRPr="00000000">
              <w:rPr>
                <w:rtl w:val="0"/>
              </w:rPr>
            </w:r>
          </w:p>
        </w:tc>
      </w:tr>
      <w:tr>
        <w:trPr>
          <w:cantSplit w:val="0"/>
          <w:tblHeader w:val="0"/>
        </w:trPr>
        <w:tc>
          <w:tcPr>
            <w:vMerge w:val="restart"/>
            <w:shd w:fill="deebf6" w:val="clear"/>
          </w:tcPr>
          <w:p w:rsidR="00000000" w:rsidDel="00000000" w:rsidP="00000000" w:rsidRDefault="00000000" w:rsidRPr="00000000" w14:paraId="00000226">
            <w:pPr>
              <w:ind w:left="113" w:right="113" w:firstLine="0"/>
              <w:jc w:val="center"/>
              <w:rPr>
                <w:rFonts w:ascii="Arial" w:cs="Arial" w:eastAsia="Arial" w:hAnsi="Arial"/>
                <w:sz w:val="19"/>
                <w:szCs w:val="19"/>
              </w:rPr>
            </w:pPr>
            <w:r w:rsidDel="00000000" w:rsidR="00000000" w:rsidRPr="00000000">
              <w:rPr>
                <w:rFonts w:ascii="Arial" w:cs="Arial" w:eastAsia="Arial" w:hAnsi="Arial"/>
                <w:b w:val="1"/>
                <w:sz w:val="19"/>
                <w:szCs w:val="19"/>
                <w:rtl w:val="0"/>
              </w:rPr>
              <w:t xml:space="preserve">Cálculos</w:t>
            </w:r>
            <w:r w:rsidDel="00000000" w:rsidR="00000000" w:rsidRPr="00000000">
              <w:rPr>
                <w:rtl w:val="0"/>
              </w:rPr>
            </w:r>
          </w:p>
        </w:tc>
        <w:tc>
          <w:tcPr>
            <w:shd w:fill="deebf6" w:val="clear"/>
            <w:vAlign w:val="center"/>
          </w:tcPr>
          <w:p w:rsidR="00000000" w:rsidDel="00000000" w:rsidP="00000000" w:rsidRDefault="00000000" w:rsidRPr="00000000" w14:paraId="00000227">
            <w:pPr>
              <w:rPr>
                <w:rFonts w:ascii="Arial" w:cs="Arial" w:eastAsia="Arial" w:hAnsi="Arial"/>
                <w:sz w:val="19"/>
                <w:szCs w:val="19"/>
              </w:rPr>
            </w:pPr>
            <w:r w:rsidDel="00000000" w:rsidR="00000000" w:rsidRPr="00000000">
              <w:rPr>
                <w:rFonts w:ascii="Arial" w:cs="Arial" w:eastAsia="Arial" w:hAnsi="Arial"/>
                <w:sz w:val="19"/>
                <w:szCs w:val="19"/>
                <w:rtl w:val="0"/>
              </w:rPr>
              <w:t xml:space="preserve">Calcular y recalcular emisiones </w:t>
            </w:r>
          </w:p>
        </w:tc>
        <w:tc>
          <w:tcPr>
            <w:vAlign w:val="center"/>
          </w:tcPr>
          <w:p w:rsidR="00000000" w:rsidDel="00000000" w:rsidP="00000000" w:rsidRDefault="00000000" w:rsidRPr="00000000" w14:paraId="00000228">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2B">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2C">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2D">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2E">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2F">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0">
            <w:pP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vAlign w:val="center"/>
          </w:tcPr>
          <w:p w:rsidR="00000000" w:rsidDel="00000000" w:rsidP="00000000" w:rsidRDefault="00000000" w:rsidRPr="00000000" w14:paraId="00000232">
            <w:pPr>
              <w:rPr>
                <w:rFonts w:ascii="Arial" w:cs="Arial" w:eastAsia="Arial" w:hAnsi="Arial"/>
                <w:sz w:val="19"/>
                <w:szCs w:val="19"/>
              </w:rPr>
            </w:pPr>
            <w:r w:rsidDel="00000000" w:rsidR="00000000" w:rsidRPr="00000000">
              <w:rPr>
                <w:rFonts w:ascii="Arial" w:cs="Arial" w:eastAsia="Arial" w:hAnsi="Arial"/>
                <w:sz w:val="19"/>
                <w:szCs w:val="19"/>
                <w:rtl w:val="0"/>
              </w:rPr>
              <w:t xml:space="preserve">Calcular y recalcular incertidumbre</w:t>
            </w:r>
          </w:p>
        </w:tc>
        <w:tc>
          <w:tcPr>
            <w:vAlign w:val="center"/>
          </w:tcPr>
          <w:p w:rsidR="00000000" w:rsidDel="00000000" w:rsidP="00000000" w:rsidRDefault="00000000" w:rsidRPr="00000000" w14:paraId="00000233">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4">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36">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38">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9">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A">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B">
            <w:pP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3D">
            <w:pPr>
              <w:rPr>
                <w:rFonts w:ascii="Arial" w:cs="Arial" w:eastAsia="Arial" w:hAnsi="Arial"/>
                <w:sz w:val="19"/>
                <w:szCs w:val="19"/>
              </w:rPr>
            </w:pPr>
            <w:r w:rsidDel="00000000" w:rsidR="00000000" w:rsidRPr="00000000">
              <w:rPr>
                <w:rFonts w:ascii="Arial" w:cs="Arial" w:eastAsia="Arial" w:hAnsi="Arial"/>
                <w:sz w:val="19"/>
                <w:szCs w:val="19"/>
                <w:rtl w:val="0"/>
              </w:rPr>
              <w:t xml:space="preserve">Consultar histórico de resultados de cálculos de emisiones (incluyendo los scripts de cálculo)</w:t>
            </w:r>
          </w:p>
        </w:tc>
        <w:tc>
          <w:tcPr>
            <w:vAlign w:val="center"/>
          </w:tcPr>
          <w:p w:rsidR="00000000" w:rsidDel="00000000" w:rsidP="00000000" w:rsidRDefault="00000000" w:rsidRPr="00000000" w14:paraId="0000023E">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3F">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8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4">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5">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46">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48">
            <w:pPr>
              <w:rPr>
                <w:rFonts w:ascii="Arial" w:cs="Arial" w:eastAsia="Arial" w:hAnsi="Arial"/>
                <w:sz w:val="19"/>
                <w:szCs w:val="19"/>
              </w:rPr>
            </w:pPr>
            <w:r w:rsidDel="00000000" w:rsidR="00000000" w:rsidRPr="00000000">
              <w:rPr>
                <w:rFonts w:ascii="Arial" w:cs="Arial" w:eastAsia="Arial" w:hAnsi="Arial"/>
                <w:sz w:val="19"/>
                <w:szCs w:val="19"/>
                <w:rtl w:val="0"/>
              </w:rPr>
              <w:t xml:space="preserve">Enviar cálculos sectoriales a aprobación de Coordinador INGEI</w:t>
            </w:r>
          </w:p>
        </w:tc>
        <w:tc>
          <w:tcPr>
            <w:vAlign w:val="center"/>
          </w:tcPr>
          <w:p w:rsidR="00000000" w:rsidDel="00000000" w:rsidP="00000000" w:rsidRDefault="00000000" w:rsidRPr="00000000" w14:paraId="00000249">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7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4B">
            <w:pPr>
              <w:ind w:left="360" w:firstLine="0"/>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C">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D">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E">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4F">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50">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51">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53">
            <w:pPr>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Aprobar versión final de los cálculos de emisión por sector</w:t>
            </w:r>
          </w:p>
        </w:tc>
        <w:tc>
          <w:tcPr>
            <w:vAlign w:val="center"/>
          </w:tcPr>
          <w:p w:rsidR="00000000" w:rsidDel="00000000" w:rsidP="00000000" w:rsidRDefault="00000000" w:rsidRPr="00000000" w14:paraId="00000254">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55">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56">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57">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5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59">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5A">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5B">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5C">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5E">
            <w:pPr>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Compilar INGEI</w:t>
            </w:r>
          </w:p>
        </w:tc>
        <w:tc>
          <w:tcPr>
            <w:vAlign w:val="center"/>
          </w:tcPr>
          <w:p w:rsidR="00000000" w:rsidDel="00000000" w:rsidP="00000000" w:rsidRDefault="00000000" w:rsidRPr="00000000" w14:paraId="0000025F">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0">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1">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2">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4">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65">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66">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67">
            <w:pPr>
              <w:jc w:val="center"/>
              <w:rPr>
                <w:rFonts w:ascii="Arial" w:cs="Arial" w:eastAsia="Arial" w:hAnsi="Arial"/>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shd w:fill="deebf6" w:val="clear"/>
          </w:tcPr>
          <w:p w:rsidR="00000000" w:rsidDel="00000000" w:rsidP="00000000" w:rsidRDefault="00000000" w:rsidRPr="00000000" w14:paraId="00000269">
            <w:pPr>
              <w:jc w:val="both"/>
              <w:rPr>
                <w:rFonts w:ascii="Arial" w:cs="Arial" w:eastAsia="Arial" w:hAnsi="Arial"/>
                <w:sz w:val="19"/>
                <w:szCs w:val="19"/>
              </w:rPr>
            </w:pPr>
            <w:r w:rsidDel="00000000" w:rsidR="00000000" w:rsidRPr="00000000">
              <w:rPr>
                <w:rFonts w:ascii="Arial" w:cs="Arial" w:eastAsia="Arial" w:hAnsi="Arial"/>
                <w:sz w:val="19"/>
                <w:szCs w:val="19"/>
                <w:rtl w:val="0"/>
              </w:rPr>
              <w:t xml:space="preserve">Clasificar información como “pública” o “en reserva”</w:t>
            </w:r>
          </w:p>
        </w:tc>
        <w:tc>
          <w:tcPr>
            <w:vAlign w:val="center"/>
          </w:tcPr>
          <w:p w:rsidR="00000000" w:rsidDel="00000000" w:rsidP="00000000" w:rsidRDefault="00000000" w:rsidRPr="00000000" w14:paraId="0000026A">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B">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6C">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6D">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6E">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6F">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70">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71">
            <w:pPr>
              <w:jc w:val="center"/>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272">
            <w:pPr>
              <w:jc w:val="center"/>
              <w:rPr>
                <w:rFonts w:ascii="Arial" w:cs="Arial" w:eastAsia="Arial" w:hAnsi="Arial"/>
                <w:sz w:val="18"/>
                <w:szCs w:val="18"/>
              </w:rPr>
            </w:pPr>
            <w:r w:rsidDel="00000000" w:rsidR="00000000" w:rsidRPr="00000000">
              <w:rPr>
                <w:rtl w:val="0"/>
              </w:rPr>
            </w:r>
          </w:p>
        </w:tc>
      </w:tr>
      <w:tr>
        <w:trPr>
          <w:cantSplit w:val="1"/>
          <w:trHeight w:val="1134" w:hRule="atLeast"/>
          <w:tblHeader w:val="0"/>
        </w:trPr>
        <w:tc>
          <w:tcPr>
            <w:shd w:fill="deebf6" w:val="clear"/>
          </w:tcPr>
          <w:p w:rsidR="00000000" w:rsidDel="00000000" w:rsidP="00000000" w:rsidRDefault="00000000" w:rsidRPr="00000000" w14:paraId="00000273">
            <w:pPr>
              <w:ind w:left="113" w:right="113" w:firstLine="0"/>
              <w:rPr>
                <w:rFonts w:ascii="Arial" w:cs="Arial" w:eastAsia="Arial" w:hAnsi="Arial"/>
                <w:sz w:val="19"/>
                <w:szCs w:val="19"/>
              </w:rPr>
            </w:pPr>
            <w:r w:rsidDel="00000000" w:rsidR="00000000" w:rsidRPr="00000000">
              <w:rPr>
                <w:rFonts w:ascii="Arial" w:cs="Arial" w:eastAsia="Arial" w:hAnsi="Arial"/>
                <w:b w:val="1"/>
                <w:sz w:val="19"/>
                <w:szCs w:val="19"/>
                <w:rtl w:val="0"/>
              </w:rPr>
              <w:t xml:space="preserve">Reportes</w:t>
            </w:r>
            <w:r w:rsidDel="00000000" w:rsidR="00000000" w:rsidRPr="00000000">
              <w:rPr>
                <w:rtl w:val="0"/>
              </w:rPr>
            </w:r>
          </w:p>
        </w:tc>
        <w:tc>
          <w:tcPr>
            <w:shd w:fill="deebf6" w:val="clear"/>
            <w:vAlign w:val="center"/>
          </w:tcPr>
          <w:p w:rsidR="00000000" w:rsidDel="00000000" w:rsidP="00000000" w:rsidRDefault="00000000" w:rsidRPr="00000000" w14:paraId="00000274">
            <w:pPr>
              <w:rPr>
                <w:rFonts w:ascii="Arial" w:cs="Arial" w:eastAsia="Arial" w:hAnsi="Arial"/>
                <w:sz w:val="19"/>
                <w:szCs w:val="19"/>
              </w:rPr>
            </w:pPr>
            <w:r w:rsidDel="00000000" w:rsidR="00000000" w:rsidRPr="00000000">
              <w:rPr>
                <w:rFonts w:ascii="Arial" w:cs="Arial" w:eastAsia="Arial" w:hAnsi="Arial"/>
                <w:sz w:val="19"/>
                <w:szCs w:val="19"/>
                <w:rtl w:val="0"/>
              </w:rPr>
              <w:t xml:space="preserve">Realizar reportes y consultas</w:t>
            </w:r>
          </w:p>
        </w:tc>
        <w:tc>
          <w:tcPr>
            <w:vAlign w:val="center"/>
          </w:tcPr>
          <w:p w:rsidR="00000000" w:rsidDel="00000000" w:rsidP="00000000" w:rsidRDefault="00000000" w:rsidRPr="00000000" w14:paraId="00000275">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6">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7">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9">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2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A">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7B">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Fonts w:ascii="Arial" w:cs="Arial" w:eastAsia="Arial" w:hAnsi="Arial"/>
                <w:color w:val="000000"/>
                <w:sz w:val="19"/>
                <w:szCs w:val="19"/>
                <w:rtl w:val="0"/>
              </w:rPr>
              <w:t xml:space="preserve">*</w:t>
            </w:r>
          </w:p>
        </w:tc>
        <w:tc>
          <w:tcPr>
            <w:vAlign w:val="center"/>
          </w:tcPr>
          <w:p w:rsidR="00000000" w:rsidDel="00000000" w:rsidP="00000000" w:rsidRDefault="00000000" w:rsidRPr="00000000" w14:paraId="0000027C">
            <w:pPr>
              <w:jc w:val="center"/>
              <w:rPr>
                <w:rFonts w:ascii="Arial" w:cs="Arial" w:eastAsia="Arial" w:hAnsi="Arial"/>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1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7D">
            <w:pPr>
              <w:rPr>
                <w:rFonts w:ascii="Arial" w:cs="Arial" w:eastAsia="Arial" w:hAnsi="Arial"/>
                <w:sz w:val="18"/>
                <w:szCs w:val="18"/>
              </w:rPr>
            </w:pPr>
            <w:r w:rsidDel="00000000" w:rsidR="00000000" w:rsidRPr="00000000">
              <w:rPr>
                <w:rFonts w:ascii="Arial" w:cs="Arial" w:eastAsia="Arial" w:hAnsi="Arial"/>
                <w:sz w:val="18"/>
                <w:szCs w:val="18"/>
                <w:rtl w:val="0"/>
              </w:rPr>
              <w:t xml:space="preserve">* sólo de información clasificada como pública</w:t>
            </w:r>
          </w:p>
        </w:tc>
      </w:tr>
      <w:tr>
        <w:trPr>
          <w:cantSplit w:val="0"/>
          <w:trHeight w:val="675" w:hRule="atLeast"/>
          <w:tblHeader w:val="0"/>
        </w:trPr>
        <w:tc>
          <w:tcPr>
            <w:gridSpan w:val="2"/>
            <w:shd w:fill="deebf6" w:val="clear"/>
          </w:tcPr>
          <w:p w:rsidR="00000000" w:rsidDel="00000000" w:rsidP="00000000" w:rsidRDefault="00000000" w:rsidRPr="00000000" w14:paraId="0000027E">
            <w:pPr>
              <w:rPr>
                <w:rFonts w:ascii="Arial" w:cs="Arial" w:eastAsia="Arial" w:hAnsi="Arial"/>
                <w:sz w:val="19"/>
                <w:szCs w:val="19"/>
              </w:rPr>
            </w:pPr>
            <w:r w:rsidDel="00000000" w:rsidR="00000000" w:rsidRPr="00000000">
              <w:rPr>
                <w:rFonts w:ascii="Arial" w:cs="Arial" w:eastAsia="Arial" w:hAnsi="Arial"/>
                <w:b w:val="1"/>
                <w:sz w:val="19"/>
                <w:szCs w:val="19"/>
                <w:rtl w:val="0"/>
              </w:rPr>
              <w:t xml:space="preserve">Administrar cuenta</w:t>
            </w:r>
            <w:r w:rsidDel="00000000" w:rsidR="00000000" w:rsidRPr="00000000">
              <w:rPr>
                <w:rFonts w:ascii="Arial" w:cs="Arial" w:eastAsia="Arial" w:hAnsi="Arial"/>
                <w:sz w:val="19"/>
                <w:szCs w:val="19"/>
                <w:rtl w:val="0"/>
              </w:rPr>
              <w:t xml:space="preserve"> Modificar datos de perfil y consultar notificaciones</w:t>
            </w:r>
          </w:p>
        </w:tc>
        <w:tc>
          <w:tcPr>
            <w:vAlign w:val="center"/>
          </w:tcPr>
          <w:p w:rsidR="00000000" w:rsidDel="00000000" w:rsidP="00000000" w:rsidRDefault="00000000" w:rsidRPr="00000000" w14:paraId="00000280">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2"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1">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3"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4"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3">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5"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4">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6"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5">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7"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86">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87">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8"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8">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tc>
      </w:tr>
      <w:tr>
        <w:trPr>
          <w:cantSplit w:val="0"/>
          <w:tblHeader w:val="0"/>
        </w:trPr>
        <w:tc>
          <w:tcPr>
            <w:vMerge w:val="restart"/>
            <w:shd w:fill="deebf6" w:val="clear"/>
          </w:tcPr>
          <w:p w:rsidR="00000000" w:rsidDel="00000000" w:rsidP="00000000" w:rsidRDefault="00000000" w:rsidRPr="00000000" w14:paraId="00000289">
            <w:pPr>
              <w:ind w:left="113" w:right="113" w:firstLine="0"/>
              <w:jc w:val="center"/>
              <w:rPr>
                <w:rFonts w:ascii="Arial" w:cs="Arial" w:eastAsia="Arial" w:hAnsi="Arial"/>
                <w:sz w:val="19"/>
                <w:szCs w:val="19"/>
              </w:rPr>
            </w:pPr>
            <w:r w:rsidDel="00000000" w:rsidR="00000000" w:rsidRPr="00000000">
              <w:rPr>
                <w:rFonts w:ascii="Arial" w:cs="Arial" w:eastAsia="Arial" w:hAnsi="Arial"/>
                <w:b w:val="1"/>
                <w:sz w:val="19"/>
                <w:szCs w:val="19"/>
                <w:rtl w:val="0"/>
              </w:rPr>
              <w:t xml:space="preserve">Administración</w:t>
            </w:r>
            <w:r w:rsidDel="00000000" w:rsidR="00000000" w:rsidRPr="00000000">
              <w:rPr>
                <w:rtl w:val="0"/>
              </w:rPr>
            </w:r>
          </w:p>
        </w:tc>
        <w:tc>
          <w:tcPr>
            <w:shd w:fill="deebf6" w:val="clear"/>
          </w:tcPr>
          <w:p w:rsidR="00000000" w:rsidDel="00000000" w:rsidP="00000000" w:rsidRDefault="00000000" w:rsidRPr="00000000" w14:paraId="0000028A">
            <w:pPr>
              <w:rPr>
                <w:rFonts w:ascii="Arial" w:cs="Arial" w:eastAsia="Arial" w:hAnsi="Arial"/>
                <w:sz w:val="19"/>
                <w:szCs w:val="19"/>
              </w:rPr>
            </w:pPr>
            <w:r w:rsidDel="00000000" w:rsidR="00000000" w:rsidRPr="00000000">
              <w:rPr>
                <w:rFonts w:ascii="Arial" w:cs="Arial" w:eastAsia="Arial" w:hAnsi="Arial"/>
                <w:sz w:val="19"/>
                <w:szCs w:val="19"/>
                <w:rtl w:val="0"/>
              </w:rPr>
              <w:t xml:space="preserve">Aprobar/ rechazar solicitudes de usuario</w:t>
            </w:r>
          </w:p>
        </w:tc>
        <w:tc>
          <w:tcPr>
            <w:vAlign w:val="center"/>
          </w:tcPr>
          <w:p w:rsidR="00000000" w:rsidDel="00000000" w:rsidP="00000000" w:rsidRDefault="00000000" w:rsidRPr="00000000" w14:paraId="0000028B">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8C">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8D">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8E">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8F">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0">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1">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92">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199"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3">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shd w:fill="deebf6" w:val="clear"/>
          </w:tcPr>
          <w:p w:rsidR="00000000" w:rsidDel="00000000" w:rsidP="00000000" w:rsidRDefault="00000000" w:rsidRPr="00000000" w14:paraId="00000295">
            <w:pPr>
              <w:rPr>
                <w:rFonts w:ascii="Arial" w:cs="Arial" w:eastAsia="Arial" w:hAnsi="Arial"/>
                <w:sz w:val="19"/>
                <w:szCs w:val="19"/>
              </w:rPr>
            </w:pPr>
            <w:r w:rsidDel="00000000" w:rsidR="00000000" w:rsidRPr="00000000">
              <w:rPr>
                <w:rFonts w:ascii="Arial" w:cs="Arial" w:eastAsia="Arial" w:hAnsi="Arial"/>
                <w:sz w:val="19"/>
                <w:szCs w:val="19"/>
                <w:rtl w:val="0"/>
              </w:rPr>
              <w:t xml:space="preserve">Crear, editar o eliminar roles, usuarios y permisos</w:t>
            </w:r>
          </w:p>
        </w:tc>
        <w:tc>
          <w:tcPr>
            <w:vAlign w:val="center"/>
          </w:tcPr>
          <w:p w:rsidR="00000000" w:rsidDel="00000000" w:rsidP="00000000" w:rsidRDefault="00000000" w:rsidRPr="00000000" w14:paraId="00000296">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7">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8">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99">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A">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B">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9C">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9D">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0"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9E">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tc>
      </w:tr>
      <w:tr>
        <w:trPr>
          <w:cantSplit w:val="0"/>
          <w:tblHeader w:val="0"/>
        </w:trPr>
        <w:tc>
          <w:tcPr>
            <w:vMerge w:val="continue"/>
            <w:shd w:fill="deebf6"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c>
          <w:tcPr>
            <w:shd w:fill="deebf6" w:val="clear"/>
          </w:tcPr>
          <w:p w:rsidR="00000000" w:rsidDel="00000000" w:rsidP="00000000" w:rsidRDefault="00000000" w:rsidRPr="00000000" w14:paraId="000002A0">
            <w:pPr>
              <w:rPr>
                <w:rFonts w:ascii="Arial" w:cs="Arial" w:eastAsia="Arial" w:hAnsi="Arial"/>
                <w:sz w:val="19"/>
                <w:szCs w:val="19"/>
              </w:rPr>
            </w:pPr>
            <w:r w:rsidDel="00000000" w:rsidR="00000000" w:rsidRPr="00000000">
              <w:rPr>
                <w:rFonts w:ascii="Arial" w:cs="Arial" w:eastAsia="Arial" w:hAnsi="Arial"/>
                <w:sz w:val="19"/>
                <w:szCs w:val="19"/>
                <w:rtl w:val="0"/>
              </w:rPr>
              <w:t xml:space="preserve">Realizar mantenimiento a la plataforma, así como editar opciones disponibles por módulo y página</w:t>
            </w:r>
          </w:p>
        </w:tc>
        <w:tc>
          <w:tcPr>
            <w:vAlign w:val="center"/>
          </w:tcPr>
          <w:p w:rsidR="00000000" w:rsidDel="00000000" w:rsidP="00000000" w:rsidRDefault="00000000" w:rsidRPr="00000000" w14:paraId="000002A1">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A2">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A3">
            <w:pP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A4">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A5">
            <w:pPr>
              <w:pBdr>
                <w:top w:space="0" w:sz="0" w:val="nil"/>
                <w:left w:space="0" w:sz="0" w:val="nil"/>
                <w:bottom w:space="0" w:sz="0" w:val="nil"/>
                <w:right w:space="0" w:sz="0" w:val="nil"/>
                <w:between w:space="0" w:sz="0" w:val="nil"/>
              </w:pBdr>
              <w:ind w:left="720" w:firstLine="0"/>
              <w:rPr>
                <w:rFonts w:ascii="Arial" w:cs="Arial" w:eastAsia="Arial" w:hAnsi="Arial"/>
                <w:color w:val="000000"/>
                <w:sz w:val="19"/>
                <w:szCs w:val="19"/>
              </w:rPr>
            </w:pPr>
            <w:r w:rsidDel="00000000" w:rsidR="00000000" w:rsidRPr="00000000">
              <w:rPr>
                <w:rtl w:val="0"/>
              </w:rPr>
            </w:r>
          </w:p>
        </w:tc>
        <w:tc>
          <w:tcPr>
            <w:vAlign w:val="center"/>
          </w:tcPr>
          <w:p w:rsidR="00000000" w:rsidDel="00000000" w:rsidP="00000000" w:rsidRDefault="00000000" w:rsidRPr="00000000" w14:paraId="000002A6">
            <w:pPr>
              <w:ind w:left="360" w:firstLine="0"/>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A7">
            <w:pPr>
              <w:jc w:val="center"/>
              <w:rPr>
                <w:rFonts w:ascii="Arial" w:cs="Arial" w:eastAsia="Arial" w:hAnsi="Arial"/>
                <w:sz w:val="19"/>
                <w:szCs w:val="19"/>
              </w:rPr>
            </w:pPr>
            <w:r w:rsidDel="00000000" w:rsidR="00000000" w:rsidRPr="00000000">
              <w:rPr>
                <w:rtl w:val="0"/>
              </w:rPr>
            </w:r>
          </w:p>
        </w:tc>
        <w:tc>
          <w:tcPr>
            <w:vAlign w:val="center"/>
          </w:tcPr>
          <w:p w:rsidR="00000000" w:rsidDel="00000000" w:rsidP="00000000" w:rsidRDefault="00000000" w:rsidRPr="00000000" w14:paraId="000002A8">
            <w:pPr>
              <w:pBdr>
                <w:top w:space="0" w:sz="0" w:val="nil"/>
                <w:left w:space="0" w:sz="0" w:val="nil"/>
                <w:bottom w:space="0" w:sz="0" w:val="nil"/>
                <w:right w:space="0" w:sz="0" w:val="nil"/>
                <w:between w:space="0" w:sz="0" w:val="nil"/>
              </w:pBdr>
              <w:jc w:val="center"/>
              <w:rPr>
                <w:rFonts w:ascii="Arial" w:cs="Arial" w:eastAsia="Arial" w:hAnsi="Arial"/>
                <w:color w:val="000000"/>
                <w:sz w:val="19"/>
                <w:szCs w:val="19"/>
              </w:rPr>
            </w:pPr>
            <w:r w:rsidDel="00000000" w:rsidR="00000000" w:rsidRPr="00000000">
              <w:rPr>
                <w:rFonts w:ascii="Arial" w:cs="Arial" w:eastAsia="Arial" w:hAnsi="Arial"/>
                <w:sz w:val="19"/>
                <w:szCs w:val="19"/>
              </w:rPr>
              <w:drawing>
                <wp:inline distB="0" distT="0" distL="0" distR="0">
                  <wp:extent cx="134909" cy="174915"/>
                  <wp:effectExtent b="0" l="0" r="0" t="0"/>
                  <wp:docPr id="201" name="image2.png"/>
                  <a:graphic>
                    <a:graphicData uri="http://schemas.openxmlformats.org/drawingml/2006/picture">
                      <pic:pic>
                        <pic:nvPicPr>
                          <pic:cNvPr id="0" name="image2.png"/>
                          <pic:cNvPicPr preferRelativeResize="0"/>
                        </pic:nvPicPr>
                        <pic:blipFill>
                          <a:blip r:embed="rId10"/>
                          <a:srcRect b="41582" l="48342" r="8563" t="2545"/>
                          <a:stretch>
                            <a:fillRect/>
                          </a:stretch>
                        </pic:blipFill>
                        <pic:spPr>
                          <a:xfrm>
                            <a:off x="0" y="0"/>
                            <a:ext cx="134909" cy="174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9">
            <w:pPr>
              <w:pBdr>
                <w:top w:space="0" w:sz="0" w:val="nil"/>
                <w:left w:space="0" w:sz="0" w:val="nil"/>
                <w:bottom w:space="0" w:sz="0" w:val="nil"/>
                <w:right w:space="0" w:sz="0" w:val="nil"/>
                <w:between w:space="0" w:sz="0" w:val="nil"/>
              </w:pBdr>
              <w:jc w:val="center"/>
              <w:rPr>
                <w:rFonts w:ascii="Arial" w:cs="Arial" w:eastAsia="Arial" w:hAnsi="Arial"/>
                <w:color w:val="000000"/>
                <w:sz w:val="18"/>
                <w:szCs w:val="18"/>
              </w:rPr>
            </w:pPr>
            <w:r w:rsidDel="00000000" w:rsidR="00000000" w:rsidRPr="00000000">
              <w:rPr>
                <w:rtl w:val="0"/>
              </w:rPr>
            </w:r>
          </w:p>
        </w:tc>
      </w:tr>
    </w:tbl>
    <w:p w:rsidR="00000000" w:rsidDel="00000000" w:rsidP="00000000" w:rsidRDefault="00000000" w:rsidRPr="00000000" w14:paraId="000002A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El revisor sólo deberá poder acceder a la información relacionada y/o utilizada en la estimación del inventario que se encuentre en revisión</w:t>
      </w:r>
    </w:p>
    <w:p w:rsidR="00000000" w:rsidDel="00000000" w:rsidP="00000000" w:rsidRDefault="00000000" w:rsidRPr="00000000" w14:paraId="000002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Únicamente el MinAmbiente podrá tener rol de revisor (acceso a todos los módulos, incluidos datos de actividad, factores e incertidumbre), las demás carteras ministeriales solamente podrán consultar reportes de emisiones (acceso a los resultados de las emisiones producto de los cálculos)</w:t>
      </w:r>
    </w:p>
    <w:p w:rsidR="00000000" w:rsidDel="00000000" w:rsidP="00000000" w:rsidRDefault="00000000" w:rsidRPr="00000000" w14:paraId="000002A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w:t>
      </w:r>
    </w:p>
    <w:p w:rsidR="00000000" w:rsidDel="00000000" w:rsidP="00000000" w:rsidRDefault="00000000" w:rsidRPr="00000000" w14:paraId="000002A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el proceso de estimación de emisiones GEI dentro del SINGEI requiere que los permisos de cada usuario no estén definidos únicamente por las páginas a las que pueda acceder y las acciones que tenga permitido realizar, sino por el tipo de información que puede manejar de acuerdo con las categorías (Ver Anexo 1) que tenga asignadas. En este sentido, en la Tabla 2-3 se listan las categorías que podrán ser calculadas de acuerdo con el sector al que pertenezca cada usuario (Líder de sector o Equipo técnico). </w:t>
      </w:r>
    </w:p>
    <w:p w:rsidR="00000000" w:rsidDel="00000000" w:rsidP="00000000" w:rsidRDefault="00000000" w:rsidRPr="00000000" w14:paraId="000002A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B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206ipza" w:id="15"/>
      <w:bookmarkEnd w:id="1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2-3. Categorías por Sector</w:t>
      </w:r>
    </w:p>
    <w:tbl>
      <w:tblPr>
        <w:tblStyle w:val="Table5"/>
        <w:tblW w:w="96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559"/>
        <w:gridCol w:w="1843"/>
        <w:gridCol w:w="4819"/>
        <w:tblGridChange w:id="0">
          <w:tblGrid>
            <w:gridCol w:w="1413"/>
            <w:gridCol w:w="1559"/>
            <w:gridCol w:w="1843"/>
            <w:gridCol w:w="4819"/>
          </w:tblGrid>
        </w:tblGridChange>
      </w:tblGrid>
      <w:tr>
        <w:trPr>
          <w:cantSplit w:val="0"/>
          <w:trHeight w:val="169" w:hRule="atLeast"/>
          <w:tblHeader w:val="1"/>
        </w:trPr>
        <w:tc>
          <w:tcPr>
            <w:vMerge w:val="restart"/>
            <w:vAlign w:val="center"/>
          </w:tcPr>
          <w:p w:rsidR="00000000" w:rsidDel="00000000" w:rsidP="00000000" w:rsidRDefault="00000000" w:rsidRPr="00000000" w14:paraId="000002B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Sector</w:t>
            </w:r>
          </w:p>
        </w:tc>
        <w:tc>
          <w:tcPr>
            <w:gridSpan w:val="3"/>
            <w:vAlign w:val="center"/>
          </w:tcPr>
          <w:p w:rsidR="00000000" w:rsidDel="00000000" w:rsidP="00000000" w:rsidRDefault="00000000" w:rsidRPr="00000000" w14:paraId="000002B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Categorías IPCC (INGEI) o Categorías EMEP/EAA 2019 (carbono negro)</w:t>
            </w:r>
          </w:p>
        </w:tc>
      </w:tr>
      <w:tr>
        <w:trPr>
          <w:cantSplit w:val="0"/>
          <w:trHeight w:val="214" w:hRule="atLeast"/>
          <w:tblHeader w:val="1"/>
        </w:trPr>
        <w:tc>
          <w:tcPr>
            <w:vMerge w:val="continue"/>
            <w:vAlign w:val="cente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Align w:val="center"/>
          </w:tcPr>
          <w:p w:rsidR="00000000" w:rsidDel="00000000" w:rsidP="00000000" w:rsidRDefault="00000000" w:rsidRPr="00000000" w14:paraId="000002B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Módulo </w:t>
            </w:r>
          </w:p>
        </w:tc>
        <w:tc>
          <w:tcPr>
            <w:vAlign w:val="center"/>
          </w:tcPr>
          <w:p w:rsidR="00000000" w:rsidDel="00000000" w:rsidP="00000000" w:rsidRDefault="00000000" w:rsidRPr="00000000" w14:paraId="000002B7">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Capítulo </w:t>
            </w:r>
          </w:p>
        </w:tc>
        <w:tc>
          <w:tcPr>
            <w:vAlign w:val="center"/>
          </w:tcPr>
          <w:p w:rsidR="00000000" w:rsidDel="00000000" w:rsidP="00000000" w:rsidRDefault="00000000" w:rsidRPr="00000000" w14:paraId="000002B8">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Categoría </w:t>
            </w:r>
          </w:p>
        </w:tc>
      </w:tr>
      <w:tr>
        <w:trPr>
          <w:cantSplit w:val="0"/>
          <w:trHeight w:val="118" w:hRule="atLeast"/>
          <w:tblHeader w:val="0"/>
        </w:trPr>
        <w:tc>
          <w:tcPr/>
          <w:p w:rsidR="00000000" w:rsidDel="00000000" w:rsidP="00000000" w:rsidRDefault="00000000" w:rsidRPr="00000000" w14:paraId="000002B9">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Energía 1</w:t>
            </w:r>
          </w:p>
        </w:tc>
        <w:tc>
          <w:tcPr/>
          <w:p w:rsidR="00000000" w:rsidDel="00000000" w:rsidP="00000000" w:rsidRDefault="00000000" w:rsidRPr="00000000" w14:paraId="000002B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p w:rsidR="00000000" w:rsidDel="00000000" w:rsidP="00000000" w:rsidRDefault="00000000" w:rsidRPr="00000000" w14:paraId="000002B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p w:rsidR="00000000" w:rsidDel="00000000" w:rsidP="00000000" w:rsidRDefault="00000000" w:rsidRPr="00000000" w14:paraId="000002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 1A3, 1A4</w:t>
            </w:r>
          </w:p>
        </w:tc>
      </w:tr>
      <w:tr>
        <w:trPr>
          <w:cantSplit w:val="0"/>
          <w:trHeight w:val="163" w:hRule="atLeast"/>
          <w:tblHeader w:val="0"/>
        </w:trPr>
        <w:tc>
          <w:tcPr/>
          <w:p w:rsidR="00000000" w:rsidDel="00000000" w:rsidP="00000000" w:rsidRDefault="00000000" w:rsidRPr="00000000" w14:paraId="000002B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Energía 2</w:t>
            </w:r>
          </w:p>
        </w:tc>
        <w:tc>
          <w:tcPr/>
          <w:p w:rsidR="00000000" w:rsidDel="00000000" w:rsidP="00000000" w:rsidRDefault="00000000" w:rsidRPr="00000000" w14:paraId="000002BE">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 </w:t>
            </w:r>
          </w:p>
        </w:tc>
        <w:tc>
          <w:tcPr/>
          <w:p w:rsidR="00000000" w:rsidDel="00000000" w:rsidP="00000000" w:rsidRDefault="00000000" w:rsidRPr="00000000" w14:paraId="000002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w:t>
            </w:r>
          </w:p>
        </w:tc>
        <w:tc>
          <w:tcPr/>
          <w:p w:rsidR="00000000" w:rsidDel="00000000" w:rsidP="00000000" w:rsidRDefault="00000000" w:rsidRPr="00000000" w14:paraId="000002C0">
            <w:pPr>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1B1, 1B2</w:t>
            </w:r>
            <w:r w:rsidDel="00000000" w:rsidR="00000000" w:rsidRPr="00000000">
              <w:rPr>
                <w:rtl w:val="0"/>
              </w:rPr>
            </w:r>
          </w:p>
        </w:tc>
      </w:tr>
      <w:tr>
        <w:trPr>
          <w:cantSplit w:val="0"/>
          <w:trHeight w:val="209" w:hRule="atLeast"/>
          <w:tblHeader w:val="0"/>
        </w:trPr>
        <w:tc>
          <w:tcPr>
            <w:vMerge w:val="restart"/>
          </w:tcPr>
          <w:p w:rsidR="00000000" w:rsidDel="00000000" w:rsidP="00000000" w:rsidRDefault="00000000" w:rsidRPr="00000000" w14:paraId="000002C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Industria</w:t>
            </w:r>
          </w:p>
        </w:tc>
        <w:tc>
          <w:tcPr/>
          <w:p w:rsidR="00000000" w:rsidDel="00000000" w:rsidP="00000000" w:rsidRDefault="00000000" w:rsidRPr="00000000" w14:paraId="000002C2">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p w:rsidR="00000000" w:rsidDel="00000000" w:rsidP="00000000" w:rsidRDefault="00000000" w:rsidRPr="00000000" w14:paraId="000002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p w:rsidR="00000000" w:rsidDel="00000000" w:rsidP="00000000" w:rsidRDefault="00000000" w:rsidRPr="00000000" w14:paraId="000002C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w:t>
            </w:r>
          </w:p>
        </w:tc>
      </w:tr>
      <w:tr>
        <w:trPr>
          <w:cantSplit w:val="0"/>
          <w:trHeight w:val="99" w:hRule="atLeast"/>
          <w:tblHeader w:val="0"/>
        </w:trPr>
        <w:tc>
          <w:tcPr>
            <w:vMerge w:val="continue"/>
          </w:tcPr>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2C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p w:rsidR="00000000" w:rsidDel="00000000" w:rsidP="00000000" w:rsidRDefault="00000000" w:rsidRPr="00000000" w14:paraId="000002C7">
            <w:pPr>
              <w:jc w:val="both"/>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C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w:t>
            </w:r>
          </w:p>
        </w:tc>
        <w:tc>
          <w:tcPr/>
          <w:p w:rsidR="00000000" w:rsidDel="00000000" w:rsidP="00000000" w:rsidRDefault="00000000" w:rsidRPr="00000000" w14:paraId="000002C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2A1, 2A2, 2A3, 2A4</w:t>
            </w:r>
          </w:p>
        </w:tc>
      </w:tr>
      <w:tr>
        <w:trPr>
          <w:cantSplit w:val="0"/>
          <w:trHeight w:val="145" w:hRule="atLeast"/>
          <w:tblHeader w:val="0"/>
        </w:trPr>
        <w:tc>
          <w:tcPr>
            <w:vMerge w:val="continue"/>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C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w:t>
            </w:r>
          </w:p>
        </w:tc>
        <w:tc>
          <w:tcPr/>
          <w:p w:rsidR="00000000" w:rsidDel="00000000" w:rsidP="00000000" w:rsidRDefault="00000000" w:rsidRPr="00000000" w14:paraId="000002C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2B1, 2B2, 2B8</w:t>
            </w:r>
          </w:p>
        </w:tc>
      </w:tr>
      <w:tr>
        <w:trPr>
          <w:cantSplit w:val="0"/>
          <w:trHeight w:val="50" w:hRule="atLeast"/>
          <w:tblHeader w:val="0"/>
        </w:trPr>
        <w:tc>
          <w:tcPr>
            <w:vMerge w:val="continue"/>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w:t>
            </w:r>
          </w:p>
        </w:tc>
        <w:tc>
          <w:tcPr/>
          <w:p w:rsidR="00000000" w:rsidDel="00000000" w:rsidP="00000000" w:rsidRDefault="00000000" w:rsidRPr="00000000" w14:paraId="000002D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2C1, 2C2, 2C5</w:t>
            </w:r>
          </w:p>
        </w:tc>
      </w:tr>
      <w:tr>
        <w:trPr>
          <w:cantSplit w:val="0"/>
          <w:trHeight w:val="95" w:hRule="atLeast"/>
          <w:tblHeader w:val="0"/>
        </w:trPr>
        <w:tc>
          <w:tcPr>
            <w:vMerge w:val="continue"/>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w:t>
            </w:r>
          </w:p>
        </w:tc>
        <w:tc>
          <w:tcPr/>
          <w:p w:rsidR="00000000" w:rsidDel="00000000" w:rsidP="00000000" w:rsidRDefault="00000000" w:rsidRPr="00000000" w14:paraId="000002D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2D1, 2D2</w:t>
            </w:r>
          </w:p>
        </w:tc>
      </w:tr>
      <w:tr>
        <w:trPr>
          <w:cantSplit w:val="0"/>
          <w:trHeight w:val="43" w:hRule="atLeast"/>
          <w:tblHeader w:val="0"/>
        </w:trPr>
        <w:tc>
          <w:tcPr>
            <w:vMerge w:val="continue"/>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w:t>
            </w:r>
          </w:p>
        </w:tc>
        <w:tc>
          <w:tcPr/>
          <w:p w:rsidR="00000000" w:rsidDel="00000000" w:rsidP="00000000" w:rsidRDefault="00000000" w:rsidRPr="00000000" w14:paraId="000002D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2F1, 2F2, 2F3, 2F4, 2F5, 2F6</w:t>
            </w:r>
          </w:p>
        </w:tc>
      </w:tr>
      <w:tr>
        <w:trPr>
          <w:cantSplit w:val="0"/>
          <w:trHeight w:val="43" w:hRule="atLeast"/>
          <w:tblHeader w:val="0"/>
        </w:trPr>
        <w:tc>
          <w:tcPr>
            <w:vMerge w:val="continue"/>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2G</w:t>
            </w:r>
          </w:p>
        </w:tc>
        <w:tc>
          <w:tcPr/>
          <w:p w:rsidR="00000000" w:rsidDel="00000000" w:rsidP="00000000" w:rsidRDefault="00000000" w:rsidRPr="00000000" w14:paraId="000002D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2G1</w:t>
            </w:r>
          </w:p>
        </w:tc>
      </w:tr>
      <w:tr>
        <w:trPr>
          <w:cantSplit w:val="0"/>
          <w:trHeight w:val="43" w:hRule="atLeast"/>
          <w:tblHeader w:val="0"/>
        </w:trPr>
        <w:tc>
          <w:tcPr>
            <w:vMerge w:val="continue"/>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DF">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4</w:t>
            </w:r>
          </w:p>
        </w:tc>
        <w:tc>
          <w:tcPr/>
          <w:p w:rsidR="00000000" w:rsidDel="00000000" w:rsidP="00000000" w:rsidRDefault="00000000" w:rsidRPr="00000000" w14:paraId="000002E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w:t>
            </w:r>
          </w:p>
        </w:tc>
        <w:tc>
          <w:tcPr/>
          <w:p w:rsidR="00000000" w:rsidDel="00000000" w:rsidP="00000000" w:rsidRDefault="00000000" w:rsidRPr="00000000" w14:paraId="000002E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4D2</w:t>
            </w:r>
          </w:p>
        </w:tc>
      </w:tr>
      <w:tr>
        <w:trPr>
          <w:cantSplit w:val="0"/>
          <w:trHeight w:val="43" w:hRule="atLeast"/>
          <w:tblHeader w:val="0"/>
        </w:trPr>
        <w:tc>
          <w:tcPr>
            <w:vMerge w:val="restart"/>
          </w:tcPr>
          <w:p w:rsidR="00000000" w:rsidDel="00000000" w:rsidP="00000000" w:rsidRDefault="00000000" w:rsidRPr="00000000" w14:paraId="000002E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AFOLU 1</w:t>
            </w:r>
          </w:p>
        </w:tc>
        <w:tc>
          <w:tcPr>
            <w:vMerge w:val="restart"/>
          </w:tcPr>
          <w:p w:rsidR="00000000" w:rsidDel="00000000" w:rsidP="00000000" w:rsidRDefault="00000000" w:rsidRPr="00000000" w14:paraId="000002E3">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2E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w:t>
            </w:r>
          </w:p>
        </w:tc>
        <w:tc>
          <w:tcPr/>
          <w:p w:rsidR="00000000" w:rsidDel="00000000" w:rsidP="00000000" w:rsidRDefault="00000000" w:rsidRPr="00000000" w14:paraId="000002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 3A2</w:t>
            </w:r>
          </w:p>
        </w:tc>
      </w:tr>
      <w:tr>
        <w:trPr>
          <w:cantSplit w:val="0"/>
          <w:trHeight w:val="252" w:hRule="atLeast"/>
          <w:tblHeader w:val="0"/>
        </w:trPr>
        <w:tc>
          <w:tcPr>
            <w:vMerge w:val="continue"/>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E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w:t>
            </w:r>
          </w:p>
        </w:tc>
        <w:tc>
          <w:tcPr/>
          <w:p w:rsidR="00000000" w:rsidDel="00000000" w:rsidP="00000000" w:rsidRDefault="00000000" w:rsidRPr="00000000" w14:paraId="000002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3C2, 3C3, 3C4, 3C5, 3C6, 3C7</w:t>
            </w:r>
          </w:p>
        </w:tc>
      </w:tr>
      <w:tr>
        <w:trPr>
          <w:cantSplit w:val="0"/>
          <w:trHeight w:val="119" w:hRule="atLeast"/>
          <w:tblHeader w:val="0"/>
        </w:trPr>
        <w:tc>
          <w:tcPr>
            <w:vMerge w:val="restart"/>
          </w:tcPr>
          <w:p w:rsidR="00000000" w:rsidDel="00000000" w:rsidP="00000000" w:rsidRDefault="00000000" w:rsidRPr="00000000" w14:paraId="000002E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AFOLU 2</w:t>
            </w:r>
          </w:p>
        </w:tc>
        <w:tc>
          <w:tcPr>
            <w:vMerge w:val="restart"/>
          </w:tcPr>
          <w:p w:rsidR="00000000" w:rsidDel="00000000" w:rsidP="00000000" w:rsidRDefault="00000000" w:rsidRPr="00000000" w14:paraId="000002EB">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p w:rsidR="00000000" w:rsidDel="00000000" w:rsidP="00000000" w:rsidRDefault="00000000" w:rsidRPr="00000000" w14:paraId="000002E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w:t>
            </w:r>
          </w:p>
        </w:tc>
        <w:tc>
          <w:tcPr/>
          <w:p w:rsidR="00000000" w:rsidDel="00000000" w:rsidP="00000000" w:rsidRDefault="00000000" w:rsidRPr="00000000" w14:paraId="000002E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 3B2, 3B3, 3B4, 3B5, 3B6</w:t>
            </w:r>
          </w:p>
        </w:tc>
      </w:tr>
      <w:tr>
        <w:trPr>
          <w:cantSplit w:val="0"/>
          <w:trHeight w:val="91" w:hRule="atLeast"/>
          <w:tblHeader w:val="0"/>
        </w:trPr>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 </w:t>
            </w:r>
          </w:p>
        </w:tc>
        <w:tc>
          <w:tcPr/>
          <w:p w:rsidR="00000000" w:rsidDel="00000000" w:rsidP="00000000" w:rsidRDefault="00000000" w:rsidRPr="00000000" w14:paraId="000002F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3C1 </w:t>
            </w:r>
          </w:p>
        </w:tc>
      </w:tr>
      <w:tr>
        <w:trPr>
          <w:cantSplit w:val="0"/>
          <w:trHeight w:val="34" w:hRule="atLeast"/>
          <w:tblHeader w:val="0"/>
        </w:trPr>
        <w:tc>
          <w:tcPr>
            <w:vMerge w:val="continue"/>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w:t>
            </w:r>
          </w:p>
        </w:tc>
        <w:tc>
          <w:tcPr/>
          <w:p w:rsidR="00000000" w:rsidDel="00000000" w:rsidP="00000000" w:rsidRDefault="00000000" w:rsidRPr="00000000" w14:paraId="000002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3D1</w:t>
            </w:r>
          </w:p>
        </w:tc>
      </w:tr>
      <w:tr>
        <w:trPr>
          <w:cantSplit w:val="0"/>
          <w:trHeight w:val="184" w:hRule="atLeast"/>
          <w:tblHeader w:val="0"/>
        </w:trPr>
        <w:tc>
          <w:tcPr>
            <w:vMerge w:val="restart"/>
          </w:tcPr>
          <w:p w:rsidR="00000000" w:rsidDel="00000000" w:rsidP="00000000" w:rsidRDefault="00000000" w:rsidRPr="00000000" w14:paraId="000002F6">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Residuos</w:t>
            </w:r>
          </w:p>
        </w:tc>
        <w:tc>
          <w:tcPr>
            <w:vMerge w:val="restart"/>
          </w:tcPr>
          <w:p w:rsidR="00000000" w:rsidDel="00000000" w:rsidP="00000000" w:rsidRDefault="00000000" w:rsidRPr="00000000" w14:paraId="000002F7">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4 </w:t>
            </w:r>
            <w:r w:rsidDel="00000000" w:rsidR="00000000" w:rsidRPr="00000000">
              <w:rPr>
                <w:rtl w:val="0"/>
              </w:rPr>
            </w:r>
          </w:p>
        </w:tc>
        <w:tc>
          <w:tcPr/>
          <w:p w:rsidR="00000000" w:rsidDel="00000000" w:rsidP="00000000" w:rsidRDefault="00000000" w:rsidRPr="00000000" w14:paraId="000002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 </w:t>
            </w:r>
          </w:p>
        </w:tc>
        <w:tc>
          <w:tcPr/>
          <w:p w:rsidR="00000000" w:rsidDel="00000000" w:rsidP="00000000" w:rsidRDefault="00000000" w:rsidRPr="00000000" w14:paraId="000002F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4A1, 4A2 </w:t>
            </w:r>
          </w:p>
        </w:tc>
      </w:tr>
      <w:tr>
        <w:trPr>
          <w:cantSplit w:val="0"/>
          <w:trHeight w:val="50" w:hRule="atLeast"/>
          <w:tblHeader w:val="0"/>
        </w:trPr>
        <w:tc>
          <w:tcPr>
            <w:vMerge w:val="continue"/>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F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4C </w:t>
            </w:r>
          </w:p>
        </w:tc>
        <w:tc>
          <w:tcPr/>
          <w:p w:rsidR="00000000" w:rsidDel="00000000" w:rsidP="00000000" w:rsidRDefault="00000000" w:rsidRPr="00000000" w14:paraId="000002FD">
            <w:pPr>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4C1, 4C2 </w:t>
            </w:r>
            <w:r w:rsidDel="00000000" w:rsidR="00000000" w:rsidRPr="00000000">
              <w:rPr>
                <w:rtl w:val="0"/>
              </w:rPr>
            </w:r>
          </w:p>
        </w:tc>
      </w:tr>
      <w:tr>
        <w:trPr>
          <w:cantSplit w:val="0"/>
          <w:trHeight w:val="78" w:hRule="atLeast"/>
          <w:tblHeader w:val="0"/>
        </w:trPr>
        <w:tc>
          <w:tcPr>
            <w:vMerge w:val="continue"/>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30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w:t>
            </w:r>
          </w:p>
        </w:tc>
        <w:tc>
          <w:tcPr/>
          <w:p w:rsidR="00000000" w:rsidDel="00000000" w:rsidP="00000000" w:rsidRDefault="00000000" w:rsidRPr="00000000" w14:paraId="0000030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4D1</w:t>
            </w:r>
          </w:p>
        </w:tc>
      </w:tr>
      <w:tr>
        <w:trPr>
          <w:cantSplit w:val="0"/>
          <w:trHeight w:val="78" w:hRule="atLeast"/>
          <w:tblHeader w:val="0"/>
        </w:trPr>
        <w:tc>
          <w:tcPr>
            <w:vMerge w:val="restart"/>
          </w:tcPr>
          <w:p w:rsidR="00000000" w:rsidDel="00000000" w:rsidP="00000000" w:rsidRDefault="00000000" w:rsidRPr="00000000" w14:paraId="0000030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Inventario carbono negro y gases precursores</w:t>
            </w:r>
          </w:p>
        </w:tc>
        <w:tc>
          <w:tcPr>
            <w:vMerge w:val="restart"/>
          </w:tcPr>
          <w:p w:rsidR="00000000" w:rsidDel="00000000" w:rsidP="00000000" w:rsidRDefault="00000000" w:rsidRPr="00000000" w14:paraId="0000030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w:t>
            </w:r>
          </w:p>
        </w:tc>
        <w:tc>
          <w:tcPr/>
          <w:p w:rsidR="00000000" w:rsidDel="00000000" w:rsidP="00000000" w:rsidRDefault="00000000" w:rsidRPr="00000000" w14:paraId="00000304">
            <w:pPr>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p w:rsidR="00000000" w:rsidDel="00000000" w:rsidP="00000000" w:rsidRDefault="00000000" w:rsidRPr="00000000" w14:paraId="00000305">
            <w:pPr>
              <w:rPr>
                <w:rFonts w:ascii="Arial" w:cs="Arial" w:eastAsia="Arial" w:hAnsi="Arial"/>
                <w:sz w:val="20"/>
                <w:szCs w:val="20"/>
              </w:rPr>
            </w:pPr>
            <w:r w:rsidDel="00000000" w:rsidR="00000000" w:rsidRPr="00000000">
              <w:rPr>
                <w:rFonts w:ascii="Arial" w:cs="Arial" w:eastAsia="Arial" w:hAnsi="Arial"/>
                <w:sz w:val="20"/>
                <w:szCs w:val="20"/>
                <w:rtl w:val="0"/>
              </w:rPr>
              <w:t xml:space="preserve">1A1, 1A2, 1A3, 1A4</w:t>
            </w:r>
          </w:p>
        </w:tc>
      </w:tr>
      <w:tr>
        <w:trPr>
          <w:cantSplit w:val="0"/>
          <w:trHeight w:val="78" w:hRule="atLeast"/>
          <w:tblHeader w:val="0"/>
        </w:trPr>
        <w:tc>
          <w:tcPr>
            <w:vMerge w:val="continue"/>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w:t>
            </w:r>
          </w:p>
        </w:tc>
        <w:tc>
          <w:tcPr/>
          <w:p w:rsidR="00000000" w:rsidDel="00000000" w:rsidP="00000000" w:rsidRDefault="00000000" w:rsidRPr="00000000" w14:paraId="00000309">
            <w:pPr>
              <w:rPr>
                <w:rFonts w:ascii="Arial" w:cs="Arial" w:eastAsia="Arial" w:hAnsi="Arial"/>
                <w:sz w:val="20"/>
                <w:szCs w:val="20"/>
              </w:rPr>
            </w:pPr>
            <w:r w:rsidDel="00000000" w:rsidR="00000000" w:rsidRPr="00000000">
              <w:rPr>
                <w:rFonts w:ascii="Arial" w:cs="Arial" w:eastAsia="Arial" w:hAnsi="Arial"/>
                <w:sz w:val="20"/>
                <w:szCs w:val="20"/>
                <w:rtl w:val="0"/>
              </w:rPr>
              <w:t xml:space="preserve">1B1, 1B2</w:t>
            </w:r>
          </w:p>
        </w:tc>
      </w:tr>
      <w:tr>
        <w:trPr>
          <w:cantSplit w:val="0"/>
          <w:trHeight w:val="78" w:hRule="atLeast"/>
          <w:tblHeader w:val="0"/>
        </w:trPr>
        <w:tc>
          <w:tcPr>
            <w:vMerge w:val="continue"/>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30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w:t>
            </w:r>
          </w:p>
        </w:tc>
        <w:tc>
          <w:tcPr/>
          <w:p w:rsidR="00000000" w:rsidDel="00000000" w:rsidP="00000000" w:rsidRDefault="00000000" w:rsidRPr="00000000" w14:paraId="0000030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w:t>
            </w:r>
          </w:p>
        </w:tc>
        <w:tc>
          <w:tcPr/>
          <w:p w:rsidR="00000000" w:rsidDel="00000000" w:rsidP="00000000" w:rsidRDefault="00000000" w:rsidRPr="00000000" w14:paraId="0000030D">
            <w:pPr>
              <w:rPr>
                <w:rFonts w:ascii="Arial" w:cs="Arial" w:eastAsia="Arial" w:hAnsi="Arial"/>
                <w:sz w:val="20"/>
                <w:szCs w:val="20"/>
              </w:rPr>
            </w:pPr>
            <w:r w:rsidDel="00000000" w:rsidR="00000000" w:rsidRPr="00000000">
              <w:rPr>
                <w:rFonts w:ascii="Arial" w:cs="Arial" w:eastAsia="Arial" w:hAnsi="Arial"/>
                <w:sz w:val="20"/>
                <w:szCs w:val="20"/>
                <w:rtl w:val="0"/>
              </w:rPr>
              <w:t xml:space="preserve">2A1, 2A2, 2A3, 2A5</w:t>
            </w:r>
          </w:p>
        </w:tc>
      </w:tr>
      <w:tr>
        <w:trPr>
          <w:cantSplit w:val="0"/>
          <w:trHeight w:val="78" w:hRule="atLeast"/>
          <w:tblHeader w:val="0"/>
        </w:trPr>
        <w:tc>
          <w:tcPr>
            <w:vMerge w:val="continue"/>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w:t>
            </w:r>
          </w:p>
        </w:tc>
        <w:tc>
          <w:tcPr/>
          <w:p w:rsidR="00000000" w:rsidDel="00000000" w:rsidP="00000000" w:rsidRDefault="00000000" w:rsidRPr="00000000" w14:paraId="00000311">
            <w:pPr>
              <w:rPr>
                <w:rFonts w:ascii="Arial" w:cs="Arial" w:eastAsia="Arial" w:hAnsi="Arial"/>
                <w:sz w:val="20"/>
                <w:szCs w:val="20"/>
              </w:rPr>
            </w:pPr>
            <w:r w:rsidDel="00000000" w:rsidR="00000000" w:rsidRPr="00000000">
              <w:rPr>
                <w:rFonts w:ascii="Arial" w:cs="Arial" w:eastAsia="Arial" w:hAnsi="Arial"/>
                <w:sz w:val="20"/>
                <w:szCs w:val="20"/>
                <w:rtl w:val="0"/>
              </w:rPr>
              <w:t xml:space="preserve">2B1, 2B2, 2B10</w:t>
            </w:r>
          </w:p>
        </w:tc>
      </w:tr>
      <w:tr>
        <w:trPr>
          <w:cantSplit w:val="0"/>
          <w:trHeight w:val="78" w:hRule="atLeast"/>
          <w:tblHeader w:val="0"/>
        </w:trPr>
        <w:tc>
          <w:tcPr>
            <w:vMerge w:val="continue"/>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w:t>
            </w:r>
          </w:p>
        </w:tc>
        <w:tc>
          <w:tcPr/>
          <w:p w:rsidR="00000000" w:rsidDel="00000000" w:rsidP="00000000" w:rsidRDefault="00000000" w:rsidRPr="00000000" w14:paraId="00000315">
            <w:pPr>
              <w:rPr>
                <w:rFonts w:ascii="Arial" w:cs="Arial" w:eastAsia="Arial" w:hAnsi="Arial"/>
                <w:sz w:val="20"/>
                <w:szCs w:val="20"/>
              </w:rPr>
            </w:pPr>
            <w:r w:rsidDel="00000000" w:rsidR="00000000" w:rsidRPr="00000000">
              <w:rPr>
                <w:rFonts w:ascii="Arial" w:cs="Arial" w:eastAsia="Arial" w:hAnsi="Arial"/>
                <w:sz w:val="20"/>
                <w:szCs w:val="20"/>
                <w:rtl w:val="0"/>
              </w:rPr>
              <w:t xml:space="preserve">2C1, 2C2, 2C5</w:t>
            </w:r>
          </w:p>
        </w:tc>
      </w:tr>
      <w:tr>
        <w:trPr>
          <w:cantSplit w:val="0"/>
          <w:trHeight w:val="78" w:hRule="atLeast"/>
          <w:tblHeader w:val="0"/>
        </w:trPr>
        <w:tc>
          <w:tcPr>
            <w:vMerge w:val="continue"/>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1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w:t>
            </w:r>
          </w:p>
        </w:tc>
        <w:tc>
          <w:tcPr/>
          <w:p w:rsidR="00000000" w:rsidDel="00000000" w:rsidP="00000000" w:rsidRDefault="00000000" w:rsidRPr="00000000" w14:paraId="00000319">
            <w:pPr>
              <w:rPr>
                <w:rFonts w:ascii="Arial" w:cs="Arial" w:eastAsia="Arial" w:hAnsi="Arial"/>
                <w:sz w:val="20"/>
                <w:szCs w:val="20"/>
              </w:rPr>
            </w:pPr>
            <w:r w:rsidDel="00000000" w:rsidR="00000000" w:rsidRPr="00000000">
              <w:rPr>
                <w:rFonts w:ascii="Arial" w:cs="Arial" w:eastAsia="Arial" w:hAnsi="Arial"/>
                <w:sz w:val="20"/>
                <w:szCs w:val="20"/>
                <w:rtl w:val="0"/>
              </w:rPr>
              <w:t xml:space="preserve">2D3</w:t>
            </w:r>
          </w:p>
        </w:tc>
      </w:tr>
      <w:tr>
        <w:trPr>
          <w:cantSplit w:val="0"/>
          <w:trHeight w:val="78" w:hRule="atLeast"/>
          <w:tblHeader w:val="0"/>
        </w:trPr>
        <w:tc>
          <w:tcPr>
            <w:vMerge w:val="continue"/>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1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2H</w:t>
            </w:r>
          </w:p>
        </w:tc>
        <w:tc>
          <w:tcPr/>
          <w:p w:rsidR="00000000" w:rsidDel="00000000" w:rsidP="00000000" w:rsidRDefault="00000000" w:rsidRPr="00000000" w14:paraId="0000031D">
            <w:pPr>
              <w:rPr>
                <w:rFonts w:ascii="Arial" w:cs="Arial" w:eastAsia="Arial" w:hAnsi="Arial"/>
                <w:sz w:val="20"/>
                <w:szCs w:val="20"/>
              </w:rPr>
            </w:pPr>
            <w:r w:rsidDel="00000000" w:rsidR="00000000" w:rsidRPr="00000000">
              <w:rPr>
                <w:rFonts w:ascii="Arial" w:cs="Arial" w:eastAsia="Arial" w:hAnsi="Arial"/>
                <w:sz w:val="20"/>
                <w:szCs w:val="20"/>
                <w:rtl w:val="0"/>
              </w:rPr>
              <w:t xml:space="preserve">2H1, 2H2</w:t>
            </w:r>
          </w:p>
        </w:tc>
      </w:tr>
      <w:tr>
        <w:trPr>
          <w:cantSplit w:val="0"/>
          <w:trHeight w:val="78" w:hRule="atLeast"/>
          <w:tblHeader w:val="0"/>
        </w:trPr>
        <w:tc>
          <w:tcPr>
            <w:vMerge w:val="continue"/>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31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w:t>
            </w:r>
          </w:p>
        </w:tc>
        <w:tc>
          <w:tcPr/>
          <w:p w:rsidR="00000000" w:rsidDel="00000000" w:rsidP="00000000" w:rsidRDefault="00000000" w:rsidRPr="00000000" w14:paraId="000003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w:t>
            </w:r>
          </w:p>
        </w:tc>
        <w:tc>
          <w:tcPr/>
          <w:p w:rsidR="00000000" w:rsidDel="00000000" w:rsidP="00000000" w:rsidRDefault="00000000" w:rsidRPr="00000000" w14:paraId="00000321">
            <w:pPr>
              <w:rPr>
                <w:rFonts w:ascii="Arial" w:cs="Arial" w:eastAsia="Arial" w:hAnsi="Arial"/>
                <w:sz w:val="20"/>
                <w:szCs w:val="20"/>
              </w:rPr>
            </w:pPr>
            <w:r w:rsidDel="00000000" w:rsidR="00000000" w:rsidRPr="00000000">
              <w:rPr>
                <w:rFonts w:ascii="Arial" w:cs="Arial" w:eastAsia="Arial" w:hAnsi="Arial"/>
                <w:sz w:val="20"/>
                <w:szCs w:val="20"/>
                <w:rtl w:val="0"/>
              </w:rPr>
              <w:t xml:space="preserve">3B1, 3B2, 3B3, 3B4</w:t>
            </w:r>
          </w:p>
        </w:tc>
      </w:tr>
      <w:tr>
        <w:trPr>
          <w:cantSplit w:val="0"/>
          <w:trHeight w:val="78" w:hRule="atLeast"/>
          <w:tblHeader w:val="0"/>
        </w:trPr>
        <w:tc>
          <w:tcPr>
            <w:vMerge w:val="continue"/>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2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w:t>
            </w:r>
          </w:p>
        </w:tc>
        <w:tc>
          <w:tcPr/>
          <w:p w:rsidR="00000000" w:rsidDel="00000000" w:rsidP="00000000" w:rsidRDefault="00000000" w:rsidRPr="00000000" w14:paraId="00000325">
            <w:pPr>
              <w:rPr>
                <w:rFonts w:ascii="Arial" w:cs="Arial" w:eastAsia="Arial" w:hAnsi="Arial"/>
                <w:sz w:val="20"/>
                <w:szCs w:val="20"/>
              </w:rPr>
            </w:pPr>
            <w:r w:rsidDel="00000000" w:rsidR="00000000" w:rsidRPr="00000000">
              <w:rPr>
                <w:rFonts w:ascii="Arial" w:cs="Arial" w:eastAsia="Arial" w:hAnsi="Arial"/>
                <w:sz w:val="20"/>
                <w:szCs w:val="20"/>
                <w:rtl w:val="0"/>
              </w:rPr>
              <w:t xml:space="preserve">3Da, 3Dc, 3De</w:t>
            </w:r>
          </w:p>
        </w:tc>
      </w:tr>
      <w:tr>
        <w:trPr>
          <w:cantSplit w:val="0"/>
          <w:trHeight w:val="78" w:hRule="atLeast"/>
          <w:tblHeader w:val="0"/>
        </w:trPr>
        <w:tc>
          <w:tcPr>
            <w:vMerge w:val="continue"/>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32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3F</w:t>
            </w:r>
          </w:p>
        </w:tc>
      </w:tr>
      <w:tr>
        <w:trPr>
          <w:cantSplit w:val="0"/>
          <w:trHeight w:val="78" w:hRule="atLeast"/>
          <w:tblHeader w:val="0"/>
        </w:trPr>
        <w:tc>
          <w:tcPr>
            <w:vMerge w:val="continue"/>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tcPr>
          <w:p w:rsidR="00000000" w:rsidDel="00000000" w:rsidP="00000000" w:rsidRDefault="00000000" w:rsidRPr="00000000" w14:paraId="0000032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c>
          <w:tcPr>
            <w:gridSpan w:val="2"/>
          </w:tcPr>
          <w:p w:rsidR="00000000" w:rsidDel="00000000" w:rsidP="00000000" w:rsidRDefault="00000000" w:rsidRPr="00000000" w14:paraId="0000032C">
            <w:pPr>
              <w:rPr>
                <w:rFonts w:ascii="Arial" w:cs="Arial" w:eastAsia="Arial" w:hAnsi="Arial"/>
                <w:sz w:val="20"/>
                <w:szCs w:val="20"/>
              </w:rPr>
            </w:pPr>
            <w:r w:rsidDel="00000000" w:rsidR="00000000" w:rsidRPr="00000000">
              <w:rPr>
                <w:rFonts w:ascii="Arial" w:cs="Arial" w:eastAsia="Arial" w:hAnsi="Arial"/>
                <w:sz w:val="20"/>
                <w:szCs w:val="20"/>
                <w:rtl w:val="0"/>
              </w:rPr>
              <w:t xml:space="preserve">5A</w:t>
            </w:r>
          </w:p>
        </w:tc>
      </w:tr>
      <w:tr>
        <w:trPr>
          <w:cantSplit w:val="0"/>
          <w:trHeight w:val="78" w:hRule="atLeast"/>
          <w:tblHeader w:val="0"/>
        </w:trPr>
        <w:tc>
          <w:tcPr>
            <w:vMerge w:val="continue"/>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w:t>
            </w:r>
          </w:p>
        </w:tc>
        <w:tc>
          <w:tcPr/>
          <w:p w:rsidR="00000000" w:rsidDel="00000000" w:rsidP="00000000" w:rsidRDefault="00000000" w:rsidRPr="00000000" w14:paraId="000003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5C1, 5C2</w:t>
            </w:r>
          </w:p>
        </w:tc>
      </w:tr>
      <w:tr>
        <w:trPr>
          <w:cantSplit w:val="0"/>
          <w:trHeight w:val="78" w:hRule="atLeast"/>
          <w:tblHeader w:val="0"/>
        </w:trPr>
        <w:tc>
          <w:tcPr>
            <w:vMerge w:val="continue"/>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5D</w:t>
            </w:r>
          </w:p>
        </w:tc>
        <w:tc>
          <w:tcPr/>
          <w:p w:rsidR="00000000" w:rsidDel="00000000" w:rsidP="00000000" w:rsidRDefault="00000000" w:rsidRPr="00000000" w14:paraId="000003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5D2</w:t>
            </w:r>
          </w:p>
        </w:tc>
      </w:tr>
      <w:tr>
        <w:trPr>
          <w:cantSplit w:val="0"/>
          <w:trHeight w:val="78" w:hRule="atLeast"/>
          <w:tblHeader w:val="0"/>
        </w:trPr>
        <w:tc>
          <w:tcPr>
            <w:vMerge w:val="continue"/>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37">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r>
          </w:p>
        </w:tc>
        <w:tc>
          <w:tcPr>
            <w:gridSpan w:val="2"/>
          </w:tcPr>
          <w:p w:rsidR="00000000" w:rsidDel="00000000" w:rsidP="00000000" w:rsidRDefault="00000000" w:rsidRPr="00000000" w14:paraId="0000033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11B</w:t>
            </w:r>
          </w:p>
        </w:tc>
      </w:tr>
    </w:tbl>
    <w:p w:rsidR="00000000" w:rsidDel="00000000" w:rsidP="00000000" w:rsidRDefault="00000000" w:rsidRPr="00000000" w14:paraId="0000033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Nota: Para más información sobre las categorías consultar el Anexo 1. </w:t>
      </w:r>
    </w:p>
    <w:p w:rsidR="00000000" w:rsidDel="00000000" w:rsidP="00000000" w:rsidRDefault="00000000" w:rsidRPr="00000000" w14:paraId="000003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33C">
      <w:pPr>
        <w:jc w:val="both"/>
        <w:rPr>
          <w:rFonts w:ascii="Arial" w:cs="Arial" w:eastAsia="Arial" w:hAnsi="Arial"/>
        </w:rPr>
      </w:pPr>
      <w:r w:rsidDel="00000000" w:rsidR="00000000" w:rsidRPr="00000000">
        <w:rPr>
          <w:rtl w:val="0"/>
        </w:rPr>
      </w:r>
    </w:p>
    <w:p w:rsidR="00000000" w:rsidDel="00000000" w:rsidP="00000000" w:rsidRDefault="00000000" w:rsidRPr="00000000" w14:paraId="0000033D">
      <w:pPr>
        <w:jc w:val="both"/>
        <w:rPr/>
      </w:pPr>
      <w:bookmarkStart w:colFirst="0" w:colLast="0" w:name="_heading=h.3dy6vkm" w:id="16"/>
      <w:bookmarkEnd w:id="16"/>
      <w:r w:rsidDel="00000000" w:rsidR="00000000" w:rsidRPr="00000000">
        <w:rPr>
          <w:rFonts w:ascii="Arial" w:cs="Arial" w:eastAsia="Arial" w:hAnsi="Arial"/>
          <w:sz w:val="22"/>
          <w:szCs w:val="22"/>
          <w:rtl w:val="0"/>
        </w:rPr>
        <w:t xml:space="preserve">De otro lado, en la sección </w:t>
      </w:r>
      <w:r w:rsidDel="00000000" w:rsidR="00000000" w:rsidRPr="00000000">
        <w:rPr>
          <w:rFonts w:ascii="Arial" w:cs="Arial" w:eastAsia="Arial" w:hAnsi="Arial"/>
          <w:b w:val="1"/>
          <w:sz w:val="22"/>
          <w:szCs w:val="22"/>
          <w:rtl w:val="0"/>
        </w:rPr>
        <w:t xml:space="preserve">2.3. Proveedores finales de datos de actividad por categoría</w:t>
      </w:r>
      <w:r w:rsidDel="00000000" w:rsidR="00000000" w:rsidRPr="00000000">
        <w:rPr>
          <w:rFonts w:ascii="Arial" w:cs="Arial" w:eastAsia="Arial" w:hAnsi="Arial"/>
          <w:sz w:val="22"/>
          <w:szCs w:val="22"/>
          <w:rtl w:val="0"/>
        </w:rPr>
        <w:t xml:space="preserve"> se muestran los proveedores de información para cada categoría (Ver.</w:t>
      </w:r>
      <w:r w:rsidDel="00000000" w:rsidR="00000000" w:rsidRPr="00000000">
        <w:rPr>
          <w:rtl w:val="0"/>
        </w:rPr>
        <w:t xml:space="preserve"> Tabla 2-3</w:t>
      </w:r>
      <w:r w:rsidDel="00000000" w:rsidR="00000000" w:rsidRPr="00000000">
        <w:rPr>
          <w:rFonts w:ascii="Arial" w:cs="Arial" w:eastAsia="Arial" w:hAnsi="Arial"/>
          <w:sz w:val="22"/>
          <w:szCs w:val="22"/>
          <w:rtl w:val="0"/>
        </w:rPr>
        <w:t xml:space="preserve">), de tal manera que al crear un usuario dentro de la plataforma SINGEI se le asignen permisos de edición únicamente sobre la información del sector o subcategorías que le correspondan.</w:t>
      </w:r>
      <w:r w:rsidDel="00000000" w:rsidR="00000000" w:rsidRPr="00000000">
        <w:rPr>
          <w:rtl w:val="0"/>
        </w:rPr>
      </w:r>
    </w:p>
    <w:p w:rsidR="00000000" w:rsidDel="00000000" w:rsidP="00000000" w:rsidRDefault="00000000" w:rsidRPr="00000000" w14:paraId="0000033E">
      <w:pPr>
        <w:jc w:val="both"/>
        <w:rPr>
          <w:rFonts w:ascii="Arial" w:cs="Arial" w:eastAsia="Arial" w:hAnsi="Arial"/>
          <w:sz w:val="22"/>
          <w:szCs w:val="22"/>
        </w:rPr>
      </w:pPr>
      <w:bookmarkStart w:colFirst="0" w:colLast="0" w:name="_heading=h.280f14gcra2u" w:id="17"/>
      <w:bookmarkEnd w:id="17"/>
      <w:r w:rsidDel="00000000" w:rsidR="00000000" w:rsidRPr="00000000">
        <w:rPr>
          <w:rtl w:val="0"/>
        </w:rPr>
      </w:r>
    </w:p>
    <w:p w:rsidR="00000000" w:rsidDel="00000000" w:rsidP="00000000" w:rsidRDefault="00000000" w:rsidRPr="00000000" w14:paraId="0000033F">
      <w:pPr>
        <w:pStyle w:val="Heading2"/>
        <w:numPr>
          <w:ilvl w:val="1"/>
          <w:numId w:val="7"/>
        </w:numPr>
        <w:ind w:left="1080" w:hanging="720"/>
        <w:rPr/>
      </w:pPr>
      <w:bookmarkStart w:colFirst="0" w:colLast="0" w:name="_heading=h.4k668n3" w:id="18"/>
      <w:bookmarkEnd w:id="18"/>
      <w:r w:rsidDel="00000000" w:rsidR="00000000" w:rsidRPr="00000000">
        <w:rPr>
          <w:rtl w:val="0"/>
        </w:rPr>
        <w:t xml:space="preserve">Proveedores finales de datos de actividad por categoría (IPCC o EMEP/EEA 2019)</w:t>
      </w:r>
    </w:p>
    <w:p w:rsidR="00000000" w:rsidDel="00000000" w:rsidP="00000000" w:rsidRDefault="00000000" w:rsidRPr="00000000" w14:paraId="0000034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Inventario Nacional de Gases de Efecto Invernadero (INGEI) es elaborado siguiendo los métodos consignados en las “Directrices del IPCC de 2006 para los inventarios nacionales de gases de efecto invernadero”. El INGEI reporta emisiones y absorciones nacionales anuales calculadas para los cuatro grandes módulos contemplados por la metodología IPCC 2006: Energía; Procesos industriales y uso de productos (IPPU, por sus siglas en inglés), Agricultura, silvicultura y otros usos de la tierra (AFOLU, por sus siglas en inglés), y Residuos.</w:t>
      </w:r>
    </w:p>
    <w:p w:rsidR="00000000" w:rsidDel="00000000" w:rsidP="00000000" w:rsidRDefault="00000000" w:rsidRPr="00000000" w14:paraId="00000342">
      <w:pPr>
        <w:jc w:val="both"/>
        <w:rPr>
          <w:rFonts w:ascii="Arial" w:cs="Arial" w:eastAsia="Arial" w:hAnsi="Arial"/>
          <w:sz w:val="22"/>
          <w:szCs w:val="22"/>
          <w:highlight w:val="red"/>
        </w:rPr>
      </w:pPr>
      <w:r w:rsidDel="00000000" w:rsidR="00000000" w:rsidRPr="00000000">
        <w:rPr>
          <w:rtl w:val="0"/>
        </w:rPr>
      </w:r>
    </w:p>
    <w:p w:rsidR="00000000" w:rsidDel="00000000" w:rsidP="00000000" w:rsidRDefault="00000000" w:rsidRPr="00000000" w14:paraId="0000034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otra parte, el Inventario de carbono negro y otros contaminantes es elaborado siguiendo los lineamientos establecidos en la “Guía técnica para la elaboración de inventario de emisiones de contaminantes atmosféricos conjunta EMEP/EEA”. Este Inventario reporta emisiones nacionales anuales calculadas para cinco grandes módulos contemplados en la nomenclatura NFR: Energía, IPPU, Agropecuario, Residuos y Fuentes Naturales. </w:t>
      </w:r>
    </w:p>
    <w:p w:rsidR="00000000" w:rsidDel="00000000" w:rsidP="00000000" w:rsidRDefault="00000000" w:rsidRPr="00000000" w14:paraId="0000034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5">
      <w:pPr>
        <w:jc w:val="both"/>
        <w:rPr>
          <w:rFonts w:ascii="Arial" w:cs="Arial" w:eastAsia="Arial" w:hAnsi="Arial"/>
          <w:sz w:val="22"/>
          <w:szCs w:val="22"/>
        </w:rPr>
      </w:pPr>
      <w:bookmarkStart w:colFirst="0" w:colLast="0" w:name="_heading=h.1pxezwc" w:id="19"/>
      <w:bookmarkEnd w:id="19"/>
      <w:r w:rsidDel="00000000" w:rsidR="00000000" w:rsidRPr="00000000">
        <w:rPr>
          <w:rFonts w:ascii="Arial" w:cs="Arial" w:eastAsia="Arial" w:hAnsi="Arial"/>
          <w:sz w:val="22"/>
          <w:szCs w:val="22"/>
          <w:rtl w:val="0"/>
        </w:rPr>
        <w:t xml:space="preserve">En este sentido, en la Tabla 2-4 se muestran todas las Entidades/Proveedores que suministran datos de actividad al INGEI y al Inventario de carbono negro, junto con los respectivos instrumentos de información sobre los cuales se realiza la consulta, y las categorías/subcategorías en las cuales se utilizan estos datos. Estas entidades serán los principales Proveedores del SINGEI.</w:t>
      </w:r>
    </w:p>
    <w:p w:rsidR="00000000" w:rsidDel="00000000" w:rsidP="00000000" w:rsidRDefault="00000000" w:rsidRPr="00000000" w14:paraId="0000034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Tabla 2-3. Proveedores de información de datos de actividad para el inventario nacional</w:t>
      </w:r>
    </w:p>
    <w:tbl>
      <w:tblPr>
        <w:tblStyle w:val="Table6"/>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744"/>
        <w:gridCol w:w="3104"/>
        <w:tblGridChange w:id="0">
          <w:tblGrid>
            <w:gridCol w:w="1980"/>
            <w:gridCol w:w="3744"/>
            <w:gridCol w:w="3104"/>
          </w:tblGrid>
        </w:tblGridChange>
      </w:tblGrid>
      <w:tr>
        <w:trPr>
          <w:cantSplit w:val="0"/>
          <w:trHeight w:val="290" w:hRule="atLeast"/>
          <w:tblHeader w:val="0"/>
        </w:trPr>
        <w:tc>
          <w:tcPr/>
          <w:p w:rsidR="00000000" w:rsidDel="00000000" w:rsidP="00000000" w:rsidRDefault="00000000" w:rsidRPr="00000000" w14:paraId="0000034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ENTIDAD/ PROVEEDOR</w:t>
            </w:r>
          </w:p>
        </w:tc>
        <w:tc>
          <w:tcPr/>
          <w:p w:rsidR="00000000" w:rsidDel="00000000" w:rsidP="00000000" w:rsidRDefault="00000000" w:rsidRPr="00000000" w14:paraId="0000034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INSTRUMENTO</w:t>
            </w:r>
          </w:p>
        </w:tc>
        <w:tc>
          <w:tcPr/>
          <w:p w:rsidR="00000000" w:rsidDel="00000000" w:rsidP="00000000" w:rsidRDefault="00000000" w:rsidRPr="00000000" w14:paraId="0000034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CATEGORÍAS</w:t>
            </w:r>
          </w:p>
        </w:tc>
      </w:tr>
      <w:tr>
        <w:trPr>
          <w:cantSplit w:val="0"/>
          <w:trHeight w:val="179" w:hRule="atLeast"/>
          <w:tblHeader w:val="0"/>
        </w:trPr>
        <w:tc>
          <w:tcPr/>
          <w:p w:rsidR="00000000" w:rsidDel="00000000" w:rsidP="00000000" w:rsidRDefault="00000000" w:rsidRPr="00000000" w14:paraId="0000034B">
            <w:pPr>
              <w:rPr>
                <w:rFonts w:ascii="Arial" w:cs="Arial" w:eastAsia="Arial" w:hAnsi="Arial"/>
                <w:sz w:val="20"/>
                <w:szCs w:val="20"/>
              </w:rPr>
            </w:pPr>
            <w:r w:rsidDel="00000000" w:rsidR="00000000" w:rsidRPr="00000000">
              <w:rPr>
                <w:rFonts w:ascii="Arial" w:cs="Arial" w:eastAsia="Arial" w:hAnsi="Arial"/>
                <w:sz w:val="20"/>
                <w:szCs w:val="20"/>
                <w:rtl w:val="0"/>
              </w:rPr>
              <w:t xml:space="preserve">Aeronáutica Civil</w:t>
            </w:r>
          </w:p>
        </w:tc>
        <w:tc>
          <w:tcPr/>
          <w:p w:rsidR="00000000" w:rsidDel="00000000" w:rsidP="00000000" w:rsidRDefault="00000000" w:rsidRPr="00000000" w14:paraId="0000034C">
            <w:pPr>
              <w:rPr>
                <w:rFonts w:ascii="Arial" w:cs="Arial" w:eastAsia="Arial" w:hAnsi="Arial"/>
                <w:sz w:val="20"/>
                <w:szCs w:val="20"/>
              </w:rPr>
            </w:pPr>
            <w:r w:rsidDel="00000000" w:rsidR="00000000" w:rsidRPr="00000000">
              <w:rPr>
                <w:rFonts w:ascii="Arial" w:cs="Arial" w:eastAsia="Arial" w:hAnsi="Arial"/>
                <w:sz w:val="20"/>
                <w:szCs w:val="20"/>
                <w:rtl w:val="0"/>
              </w:rPr>
              <w:t xml:space="preserve">Base de datos Aeronáutica Civil</w:t>
            </w:r>
          </w:p>
        </w:tc>
        <w:tc>
          <w:tcPr/>
          <w:p w:rsidR="00000000" w:rsidDel="00000000" w:rsidP="00000000" w:rsidRDefault="00000000" w:rsidRPr="00000000" w14:paraId="0000034D">
            <w:pPr>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tc>
      </w:tr>
      <w:tr>
        <w:trPr>
          <w:cantSplit w:val="0"/>
          <w:trHeight w:val="447" w:hRule="atLeast"/>
          <w:tblHeader w:val="0"/>
        </w:trPr>
        <w:tc>
          <w:tcPr/>
          <w:p w:rsidR="00000000" w:rsidDel="00000000" w:rsidP="00000000" w:rsidRDefault="00000000" w:rsidRPr="00000000" w14:paraId="0000034E">
            <w:pPr>
              <w:rPr>
                <w:rFonts w:ascii="Arial" w:cs="Arial" w:eastAsia="Arial" w:hAnsi="Arial"/>
                <w:sz w:val="20"/>
                <w:szCs w:val="20"/>
              </w:rPr>
            </w:pPr>
            <w:r w:rsidDel="00000000" w:rsidR="00000000" w:rsidRPr="00000000">
              <w:rPr>
                <w:rFonts w:ascii="Arial" w:cs="Arial" w:eastAsia="Arial" w:hAnsi="Arial"/>
                <w:sz w:val="20"/>
                <w:szCs w:val="20"/>
                <w:rtl w:val="0"/>
              </w:rPr>
              <w:t xml:space="preserve">ANDI – Cámara Procultivos y empresas del sector</w:t>
            </w:r>
          </w:p>
        </w:tc>
        <w:tc>
          <w:tcPr/>
          <w:p w:rsidR="00000000" w:rsidDel="00000000" w:rsidP="00000000" w:rsidRDefault="00000000" w:rsidRPr="00000000" w14:paraId="0000034F">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p w:rsidR="00000000" w:rsidDel="00000000" w:rsidP="00000000" w:rsidRDefault="00000000" w:rsidRPr="00000000" w14:paraId="00000350">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51">
            <w:pPr>
              <w:rPr>
                <w:rFonts w:ascii="Arial" w:cs="Arial" w:eastAsia="Arial" w:hAnsi="Arial"/>
                <w:sz w:val="20"/>
                <w:szCs w:val="20"/>
              </w:rPr>
            </w:pPr>
            <w:r w:rsidDel="00000000" w:rsidR="00000000" w:rsidRPr="00000000">
              <w:rPr>
                <w:rFonts w:ascii="Arial" w:cs="Arial" w:eastAsia="Arial" w:hAnsi="Arial"/>
                <w:sz w:val="20"/>
                <w:szCs w:val="20"/>
                <w:rtl w:val="0"/>
              </w:rPr>
              <w:t xml:space="preserve">2B1 - Producción de amoníaco</w:t>
            </w:r>
          </w:p>
          <w:p w:rsidR="00000000" w:rsidDel="00000000" w:rsidP="00000000" w:rsidRDefault="00000000" w:rsidRPr="00000000" w14:paraId="00000352">
            <w:pPr>
              <w:rPr>
                <w:rFonts w:ascii="Arial" w:cs="Arial" w:eastAsia="Arial" w:hAnsi="Arial"/>
                <w:sz w:val="20"/>
                <w:szCs w:val="20"/>
              </w:rPr>
            </w:pPr>
            <w:r w:rsidDel="00000000" w:rsidR="00000000" w:rsidRPr="00000000">
              <w:rPr>
                <w:rFonts w:ascii="Arial" w:cs="Arial" w:eastAsia="Arial" w:hAnsi="Arial"/>
                <w:sz w:val="20"/>
                <w:szCs w:val="20"/>
                <w:rtl w:val="0"/>
              </w:rPr>
              <w:t xml:space="preserve">2B2 - Producción de ácido nítrico</w:t>
            </w:r>
          </w:p>
        </w:tc>
      </w:tr>
      <w:tr>
        <w:trPr>
          <w:cantSplit w:val="0"/>
          <w:trHeight w:val="50" w:hRule="atLeast"/>
          <w:tblHeader w:val="0"/>
        </w:trPr>
        <w:tc>
          <w:tcPr/>
          <w:p w:rsidR="00000000" w:rsidDel="00000000" w:rsidP="00000000" w:rsidRDefault="00000000" w:rsidRPr="00000000" w14:paraId="00000353">
            <w:pPr>
              <w:rPr>
                <w:rFonts w:ascii="Arial" w:cs="Arial" w:eastAsia="Arial" w:hAnsi="Arial"/>
                <w:sz w:val="20"/>
                <w:szCs w:val="20"/>
              </w:rPr>
            </w:pPr>
            <w:r w:rsidDel="00000000" w:rsidR="00000000" w:rsidRPr="00000000">
              <w:rPr>
                <w:rFonts w:ascii="Arial" w:cs="Arial" w:eastAsia="Arial" w:hAnsi="Arial"/>
                <w:sz w:val="20"/>
                <w:szCs w:val="20"/>
                <w:rtl w:val="0"/>
              </w:rPr>
              <w:t xml:space="preserve">ANDI – Cámara de pulpa, papel y cartón</w:t>
            </w:r>
          </w:p>
        </w:tc>
        <w:tc>
          <w:tcPr/>
          <w:p w:rsidR="00000000" w:rsidDel="00000000" w:rsidP="00000000" w:rsidRDefault="00000000" w:rsidRPr="00000000" w14:paraId="00000354">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estadísticos histórico del sector/Bases de datos</w:t>
            </w:r>
          </w:p>
        </w:tc>
        <w:tc>
          <w:tcPr/>
          <w:p w:rsidR="00000000" w:rsidDel="00000000" w:rsidP="00000000" w:rsidRDefault="00000000" w:rsidRPr="00000000" w14:paraId="00000355">
            <w:pPr>
              <w:rPr>
                <w:rFonts w:ascii="Arial" w:cs="Arial" w:eastAsia="Arial" w:hAnsi="Arial"/>
                <w:sz w:val="20"/>
                <w:szCs w:val="20"/>
              </w:rPr>
            </w:pPr>
            <w:r w:rsidDel="00000000" w:rsidR="00000000" w:rsidRPr="00000000">
              <w:rPr>
                <w:rFonts w:ascii="Arial" w:cs="Arial" w:eastAsia="Arial" w:hAnsi="Arial"/>
                <w:sz w:val="20"/>
                <w:szCs w:val="20"/>
                <w:rtl w:val="0"/>
              </w:rPr>
              <w:t xml:space="preserve">2H1 Industria de pulpa y papel*</w:t>
            </w:r>
          </w:p>
        </w:tc>
      </w:tr>
      <w:tr>
        <w:trPr>
          <w:cantSplit w:val="0"/>
          <w:trHeight w:val="276" w:hRule="atLeast"/>
          <w:tblHeader w:val="0"/>
        </w:trPr>
        <w:tc>
          <w:tcPr/>
          <w:p w:rsidR="00000000" w:rsidDel="00000000" w:rsidP="00000000" w:rsidRDefault="00000000" w:rsidRPr="00000000" w14:paraId="00000356">
            <w:pPr>
              <w:rPr>
                <w:rFonts w:ascii="Arial" w:cs="Arial" w:eastAsia="Arial" w:hAnsi="Arial"/>
                <w:sz w:val="20"/>
                <w:szCs w:val="20"/>
              </w:rPr>
            </w:pPr>
            <w:r w:rsidDel="00000000" w:rsidR="00000000" w:rsidRPr="00000000">
              <w:rPr>
                <w:rFonts w:ascii="Arial" w:cs="Arial" w:eastAsia="Arial" w:hAnsi="Arial"/>
                <w:sz w:val="20"/>
                <w:szCs w:val="20"/>
                <w:rtl w:val="0"/>
              </w:rPr>
              <w:t xml:space="preserve">ANH</w:t>
            </w:r>
          </w:p>
        </w:tc>
        <w:tc>
          <w:tcPr/>
          <w:p w:rsidR="00000000" w:rsidDel="00000000" w:rsidP="00000000" w:rsidRDefault="00000000" w:rsidRPr="00000000" w14:paraId="00000357">
            <w:pPr>
              <w:rPr>
                <w:rFonts w:ascii="Arial" w:cs="Arial" w:eastAsia="Arial" w:hAnsi="Arial"/>
                <w:sz w:val="20"/>
                <w:szCs w:val="20"/>
              </w:rPr>
            </w:pPr>
            <w:r w:rsidDel="00000000" w:rsidR="00000000" w:rsidRPr="00000000">
              <w:rPr>
                <w:rFonts w:ascii="Arial" w:cs="Arial" w:eastAsia="Arial" w:hAnsi="Arial"/>
                <w:sz w:val="20"/>
                <w:szCs w:val="20"/>
                <w:rtl w:val="0"/>
              </w:rPr>
              <w:t xml:space="preserve">Sistemas Integrados Operaciones</w:t>
            </w:r>
          </w:p>
        </w:tc>
        <w:tc>
          <w:tcPr/>
          <w:p w:rsidR="00000000" w:rsidDel="00000000" w:rsidP="00000000" w:rsidRDefault="00000000" w:rsidRPr="00000000" w14:paraId="00000358">
            <w:pPr>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 </w:t>
              <w:br w:type="textWrapping"/>
              <w:t xml:space="preserve">1B2b Gas natural</w:t>
            </w:r>
          </w:p>
        </w:tc>
      </w:tr>
      <w:tr>
        <w:trPr>
          <w:cantSplit w:val="0"/>
          <w:trHeight w:val="109" w:hRule="atLeast"/>
          <w:tblHeader w:val="0"/>
        </w:trPr>
        <w:tc>
          <w:tcPr/>
          <w:p w:rsidR="00000000" w:rsidDel="00000000" w:rsidP="00000000" w:rsidRDefault="00000000" w:rsidRPr="00000000" w14:paraId="00000359">
            <w:pPr>
              <w:rPr>
                <w:rFonts w:ascii="Arial" w:cs="Arial" w:eastAsia="Arial" w:hAnsi="Arial"/>
                <w:sz w:val="20"/>
                <w:szCs w:val="20"/>
              </w:rPr>
            </w:pPr>
            <w:r w:rsidDel="00000000" w:rsidR="00000000" w:rsidRPr="00000000">
              <w:rPr>
                <w:rFonts w:ascii="Arial" w:cs="Arial" w:eastAsia="Arial" w:hAnsi="Arial"/>
                <w:sz w:val="20"/>
                <w:szCs w:val="20"/>
                <w:rtl w:val="0"/>
              </w:rPr>
              <w:t xml:space="preserve">CONCENTRA</w:t>
            </w:r>
          </w:p>
        </w:tc>
        <w:tc>
          <w:tcPr/>
          <w:p w:rsidR="00000000" w:rsidDel="00000000" w:rsidP="00000000" w:rsidRDefault="00000000" w:rsidRPr="00000000" w14:paraId="0000035A">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del Sector de Gas Natural</w:t>
            </w:r>
          </w:p>
        </w:tc>
        <w:tc>
          <w:tcPr/>
          <w:p w:rsidR="00000000" w:rsidDel="00000000" w:rsidP="00000000" w:rsidRDefault="00000000" w:rsidRPr="00000000" w14:paraId="0000035B">
            <w:pPr>
              <w:rPr>
                <w:rFonts w:ascii="Arial" w:cs="Arial" w:eastAsia="Arial" w:hAnsi="Arial"/>
                <w:sz w:val="20"/>
                <w:szCs w:val="20"/>
              </w:rPr>
            </w:pPr>
            <w:r w:rsidDel="00000000" w:rsidR="00000000" w:rsidRPr="00000000">
              <w:rPr>
                <w:rFonts w:ascii="Arial" w:cs="Arial" w:eastAsia="Arial" w:hAnsi="Arial"/>
                <w:sz w:val="20"/>
                <w:szCs w:val="20"/>
                <w:rtl w:val="0"/>
              </w:rPr>
              <w:t xml:space="preserve">1B2b Gas natural</w:t>
            </w:r>
          </w:p>
        </w:tc>
      </w:tr>
      <w:tr>
        <w:trPr>
          <w:cantSplit w:val="0"/>
          <w:trHeight w:val="438" w:hRule="atLeast"/>
          <w:tblHeader w:val="0"/>
        </w:trPr>
        <w:tc>
          <w:tcPr/>
          <w:p w:rsidR="00000000" w:rsidDel="00000000" w:rsidP="00000000" w:rsidRDefault="00000000" w:rsidRPr="00000000" w14:paraId="0000035C">
            <w:pPr>
              <w:rPr>
                <w:rFonts w:ascii="Arial" w:cs="Arial" w:eastAsia="Arial" w:hAnsi="Arial"/>
                <w:sz w:val="20"/>
                <w:szCs w:val="20"/>
              </w:rPr>
            </w:pPr>
            <w:r w:rsidDel="00000000" w:rsidR="00000000" w:rsidRPr="00000000">
              <w:rPr>
                <w:rFonts w:ascii="Arial" w:cs="Arial" w:eastAsia="Arial" w:hAnsi="Arial"/>
                <w:sz w:val="20"/>
                <w:szCs w:val="20"/>
                <w:rtl w:val="0"/>
              </w:rPr>
              <w:t xml:space="preserve">CERROMATOSO</w:t>
            </w:r>
          </w:p>
        </w:tc>
        <w:tc>
          <w:tcPr/>
          <w:p w:rsidR="00000000" w:rsidDel="00000000" w:rsidP="00000000" w:rsidRDefault="00000000" w:rsidRPr="00000000" w14:paraId="0000035D">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 anual de sostenibilidad</w:t>
            </w:r>
          </w:p>
        </w:tc>
        <w:tc>
          <w:tcPr/>
          <w:p w:rsidR="00000000" w:rsidDel="00000000" w:rsidP="00000000" w:rsidRDefault="00000000" w:rsidRPr="00000000" w14:paraId="0000035E">
            <w:pPr>
              <w:rPr>
                <w:rFonts w:ascii="Arial" w:cs="Arial" w:eastAsia="Arial" w:hAnsi="Arial"/>
                <w:sz w:val="20"/>
                <w:szCs w:val="20"/>
              </w:rPr>
            </w:pPr>
            <w:r w:rsidDel="00000000" w:rsidR="00000000" w:rsidRPr="00000000">
              <w:rPr>
                <w:rFonts w:ascii="Arial" w:cs="Arial" w:eastAsia="Arial" w:hAnsi="Arial"/>
                <w:sz w:val="20"/>
                <w:szCs w:val="20"/>
                <w:rtl w:val="0"/>
              </w:rPr>
              <w:t xml:space="preserve">2C2 - Producción de ferroaleaciones</w:t>
            </w:r>
          </w:p>
        </w:tc>
      </w:tr>
      <w:tr>
        <w:trPr>
          <w:cantSplit w:val="0"/>
          <w:trHeight w:val="389" w:hRule="atLeast"/>
          <w:tblHeader w:val="0"/>
        </w:trPr>
        <w:tc>
          <w:tcPr/>
          <w:p w:rsidR="00000000" w:rsidDel="00000000" w:rsidP="00000000" w:rsidRDefault="00000000" w:rsidRPr="00000000" w14:paraId="0000035F">
            <w:pPr>
              <w:rPr>
                <w:rFonts w:ascii="Arial" w:cs="Arial" w:eastAsia="Arial" w:hAnsi="Arial"/>
                <w:sz w:val="20"/>
                <w:szCs w:val="20"/>
              </w:rPr>
            </w:pPr>
            <w:r w:rsidDel="00000000" w:rsidR="00000000" w:rsidRPr="00000000">
              <w:rPr>
                <w:rFonts w:ascii="Arial" w:cs="Arial" w:eastAsia="Arial" w:hAnsi="Arial"/>
                <w:sz w:val="20"/>
                <w:szCs w:val="20"/>
                <w:rtl w:val="0"/>
              </w:rPr>
              <w:t xml:space="preserve">CMNUCC</w:t>
            </w:r>
          </w:p>
        </w:tc>
        <w:tc>
          <w:tcPr/>
          <w:p w:rsidR="00000000" w:rsidDel="00000000" w:rsidP="00000000" w:rsidRDefault="00000000" w:rsidRPr="00000000" w14:paraId="00000360">
            <w:pPr>
              <w:rPr>
                <w:rFonts w:ascii="Arial" w:cs="Arial" w:eastAsia="Arial" w:hAnsi="Arial"/>
                <w:sz w:val="20"/>
                <w:szCs w:val="20"/>
              </w:rPr>
            </w:pPr>
            <w:r w:rsidDel="00000000" w:rsidR="00000000" w:rsidRPr="00000000">
              <w:rPr>
                <w:rFonts w:ascii="Arial" w:cs="Arial" w:eastAsia="Arial" w:hAnsi="Arial"/>
                <w:sz w:val="20"/>
                <w:szCs w:val="20"/>
                <w:rtl w:val="0"/>
              </w:rPr>
              <w:t xml:space="preserve">MDL rellenos sanitarios</w:t>
            </w:r>
          </w:p>
        </w:tc>
        <w:tc>
          <w:tcPr/>
          <w:p w:rsidR="00000000" w:rsidDel="00000000" w:rsidP="00000000" w:rsidRDefault="00000000" w:rsidRPr="00000000" w14:paraId="00000361">
            <w:pPr>
              <w:rPr>
                <w:rFonts w:ascii="Arial" w:cs="Arial" w:eastAsia="Arial" w:hAnsi="Arial"/>
                <w:sz w:val="20"/>
                <w:szCs w:val="20"/>
              </w:rPr>
            </w:pPr>
            <w:r w:rsidDel="00000000" w:rsidR="00000000" w:rsidRPr="00000000">
              <w:rPr>
                <w:rFonts w:ascii="Arial" w:cs="Arial" w:eastAsia="Arial" w:hAnsi="Arial"/>
                <w:sz w:val="20"/>
                <w:szCs w:val="20"/>
                <w:rtl w:val="0"/>
              </w:rPr>
              <w:t xml:space="preserve">4A - Eliminación de desechos sólidos</w:t>
            </w:r>
          </w:p>
        </w:tc>
      </w:tr>
      <w:tr>
        <w:trPr>
          <w:cantSplit w:val="0"/>
          <w:trHeight w:val="558" w:hRule="atLeast"/>
          <w:tblHeader w:val="0"/>
        </w:trPr>
        <w:tc>
          <w:tcPr>
            <w:vMerge w:val="restart"/>
          </w:tcPr>
          <w:p w:rsidR="00000000" w:rsidDel="00000000" w:rsidP="00000000" w:rsidRDefault="00000000" w:rsidRPr="00000000" w14:paraId="00000362">
            <w:pPr>
              <w:rPr>
                <w:rFonts w:ascii="Arial" w:cs="Arial" w:eastAsia="Arial" w:hAnsi="Arial"/>
                <w:sz w:val="20"/>
                <w:szCs w:val="20"/>
              </w:rPr>
            </w:pPr>
            <w:r w:rsidDel="00000000" w:rsidR="00000000" w:rsidRPr="00000000">
              <w:rPr>
                <w:rFonts w:ascii="Arial" w:cs="Arial" w:eastAsia="Arial" w:hAnsi="Arial"/>
                <w:sz w:val="20"/>
                <w:szCs w:val="20"/>
                <w:rtl w:val="0"/>
              </w:rPr>
              <w:t xml:space="preserve">DANE</w:t>
            </w:r>
          </w:p>
        </w:tc>
        <w:tc>
          <w:tcPr/>
          <w:p w:rsidR="00000000" w:rsidDel="00000000" w:rsidP="00000000" w:rsidRDefault="00000000" w:rsidRPr="00000000" w14:paraId="00000363">
            <w:pPr>
              <w:rPr>
                <w:rFonts w:ascii="Arial" w:cs="Arial" w:eastAsia="Arial" w:hAnsi="Arial"/>
                <w:sz w:val="20"/>
                <w:szCs w:val="20"/>
              </w:rPr>
            </w:pPr>
            <w:r w:rsidDel="00000000" w:rsidR="00000000" w:rsidRPr="00000000">
              <w:rPr>
                <w:rFonts w:ascii="Arial" w:cs="Arial" w:eastAsia="Arial" w:hAnsi="Arial"/>
                <w:sz w:val="20"/>
                <w:szCs w:val="20"/>
                <w:rtl w:val="0"/>
              </w:rPr>
              <w:t xml:space="preserve">Censo de población rural (proyecciones y retroproyecciones)</w:t>
            </w:r>
          </w:p>
        </w:tc>
        <w:tc>
          <w:tcPr/>
          <w:p w:rsidR="00000000" w:rsidDel="00000000" w:rsidP="00000000" w:rsidRDefault="00000000" w:rsidRPr="00000000" w14:paraId="00000364">
            <w:pPr>
              <w:rPr>
                <w:rFonts w:ascii="Arial" w:cs="Arial" w:eastAsia="Arial" w:hAnsi="Arial"/>
                <w:sz w:val="20"/>
                <w:szCs w:val="20"/>
              </w:rPr>
            </w:pPr>
            <w:r w:rsidDel="00000000" w:rsidR="00000000" w:rsidRPr="00000000">
              <w:rPr>
                <w:rFonts w:ascii="Arial" w:cs="Arial" w:eastAsia="Arial" w:hAnsi="Arial"/>
                <w:sz w:val="20"/>
                <w:szCs w:val="20"/>
                <w:rtl w:val="0"/>
              </w:rPr>
              <w:t xml:space="preserve">3B1ai. Tierras forestales que permanecen como tales (biomasa consumo de leña)</w:t>
            </w:r>
          </w:p>
        </w:tc>
      </w:tr>
      <w:tr>
        <w:trPr>
          <w:cantSplit w:val="0"/>
          <w:trHeight w:val="276" w:hRule="atLeast"/>
          <w:tblHeader w:val="0"/>
        </w:trPr>
        <w:tc>
          <w:tcPr>
            <w:vMerge w:val="continue"/>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66">
            <w:pPr>
              <w:rPr>
                <w:rFonts w:ascii="Arial" w:cs="Arial" w:eastAsia="Arial" w:hAnsi="Arial"/>
                <w:sz w:val="20"/>
                <w:szCs w:val="20"/>
              </w:rPr>
            </w:pPr>
            <w:r w:rsidDel="00000000" w:rsidR="00000000" w:rsidRPr="00000000">
              <w:rPr>
                <w:rFonts w:ascii="Arial" w:cs="Arial" w:eastAsia="Arial" w:hAnsi="Arial"/>
                <w:sz w:val="20"/>
                <w:szCs w:val="20"/>
                <w:rtl w:val="0"/>
              </w:rPr>
              <w:t xml:space="preserve">Estadísticas de cemento gris</w:t>
            </w:r>
          </w:p>
        </w:tc>
        <w:tc>
          <w:tcPr/>
          <w:p w:rsidR="00000000" w:rsidDel="00000000" w:rsidP="00000000" w:rsidRDefault="00000000" w:rsidRPr="00000000" w14:paraId="00000367">
            <w:pPr>
              <w:rPr>
                <w:rFonts w:ascii="Arial" w:cs="Arial" w:eastAsia="Arial" w:hAnsi="Arial"/>
                <w:sz w:val="20"/>
                <w:szCs w:val="20"/>
              </w:rPr>
            </w:pPr>
            <w:r w:rsidDel="00000000" w:rsidR="00000000" w:rsidRPr="00000000">
              <w:rPr>
                <w:rFonts w:ascii="Arial" w:cs="Arial" w:eastAsia="Arial" w:hAnsi="Arial"/>
                <w:sz w:val="20"/>
                <w:szCs w:val="20"/>
                <w:rtl w:val="0"/>
              </w:rPr>
              <w:t xml:space="preserve">2A1 Producción de cemento </w:t>
            </w:r>
          </w:p>
        </w:tc>
      </w:tr>
      <w:tr>
        <w:trPr>
          <w:cantSplit w:val="0"/>
          <w:trHeight w:val="290" w:hRule="atLeast"/>
          <w:tblHeader w:val="0"/>
        </w:trPr>
        <w:tc>
          <w:tcPr>
            <w:vMerge w:val="continue"/>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69">
            <w:pPr>
              <w:rPr>
                <w:rFonts w:ascii="Arial" w:cs="Arial" w:eastAsia="Arial" w:hAnsi="Arial"/>
                <w:sz w:val="20"/>
                <w:szCs w:val="20"/>
              </w:rPr>
            </w:pPr>
            <w:r w:rsidDel="00000000" w:rsidR="00000000" w:rsidRPr="00000000">
              <w:rPr>
                <w:rFonts w:ascii="Arial" w:cs="Arial" w:eastAsia="Arial" w:hAnsi="Arial"/>
                <w:sz w:val="20"/>
                <w:szCs w:val="20"/>
                <w:rtl w:val="0"/>
              </w:rPr>
              <w:t xml:space="preserve">Encuesta Anual Manufacturera - EAM</w:t>
            </w:r>
          </w:p>
        </w:tc>
        <w:tc>
          <w:tcPr/>
          <w:p w:rsidR="00000000" w:rsidDel="00000000" w:rsidP="00000000" w:rsidRDefault="00000000" w:rsidRPr="00000000" w14:paraId="0000036A">
            <w:pPr>
              <w:rPr>
                <w:rFonts w:ascii="Arial" w:cs="Arial" w:eastAsia="Arial" w:hAnsi="Arial"/>
                <w:sz w:val="20"/>
                <w:szCs w:val="20"/>
              </w:rPr>
            </w:pPr>
            <w:r w:rsidDel="00000000" w:rsidR="00000000" w:rsidRPr="00000000">
              <w:rPr>
                <w:rFonts w:ascii="Arial" w:cs="Arial" w:eastAsia="Arial" w:hAnsi="Arial"/>
                <w:sz w:val="20"/>
                <w:szCs w:val="20"/>
                <w:rtl w:val="0"/>
              </w:rPr>
              <w:t xml:space="preserve">2A2 - Producción de cal</w:t>
            </w:r>
          </w:p>
          <w:p w:rsidR="00000000" w:rsidDel="00000000" w:rsidP="00000000" w:rsidRDefault="00000000" w:rsidRPr="00000000" w14:paraId="0000036B">
            <w:pPr>
              <w:rPr>
                <w:rFonts w:ascii="Arial" w:cs="Arial" w:eastAsia="Arial" w:hAnsi="Arial"/>
                <w:sz w:val="20"/>
                <w:szCs w:val="20"/>
              </w:rPr>
            </w:pPr>
            <w:r w:rsidDel="00000000" w:rsidR="00000000" w:rsidRPr="00000000">
              <w:rPr>
                <w:rFonts w:ascii="Arial" w:cs="Arial" w:eastAsia="Arial" w:hAnsi="Arial"/>
                <w:sz w:val="20"/>
                <w:szCs w:val="20"/>
                <w:rtl w:val="0"/>
              </w:rPr>
              <w:t xml:space="preserve">2A3 - Producción de vidrio</w:t>
            </w:r>
          </w:p>
          <w:p w:rsidR="00000000" w:rsidDel="00000000" w:rsidP="00000000" w:rsidRDefault="00000000" w:rsidRPr="00000000" w14:paraId="0000036C">
            <w:pPr>
              <w:rPr>
                <w:rFonts w:ascii="Arial" w:cs="Arial" w:eastAsia="Arial" w:hAnsi="Arial"/>
                <w:sz w:val="20"/>
                <w:szCs w:val="20"/>
              </w:rPr>
            </w:pPr>
            <w:r w:rsidDel="00000000" w:rsidR="00000000" w:rsidRPr="00000000">
              <w:rPr>
                <w:rFonts w:ascii="Arial" w:cs="Arial" w:eastAsia="Arial" w:hAnsi="Arial"/>
                <w:sz w:val="20"/>
                <w:szCs w:val="20"/>
                <w:rtl w:val="0"/>
              </w:rPr>
              <w:t xml:space="preserve">2A4b - Otros usos de la ceniza de sosa</w:t>
            </w:r>
          </w:p>
          <w:p w:rsidR="00000000" w:rsidDel="00000000" w:rsidP="00000000" w:rsidRDefault="00000000" w:rsidRPr="00000000" w14:paraId="0000036D">
            <w:pPr>
              <w:rPr>
                <w:rFonts w:ascii="Arial" w:cs="Arial" w:eastAsia="Arial" w:hAnsi="Arial"/>
                <w:sz w:val="20"/>
                <w:szCs w:val="20"/>
              </w:rPr>
            </w:pPr>
            <w:r w:rsidDel="00000000" w:rsidR="00000000" w:rsidRPr="00000000">
              <w:rPr>
                <w:rFonts w:ascii="Arial" w:cs="Arial" w:eastAsia="Arial" w:hAnsi="Arial"/>
                <w:sz w:val="20"/>
                <w:szCs w:val="20"/>
                <w:rtl w:val="0"/>
              </w:rPr>
              <w:t xml:space="preserve">2B8c - Dicloruro de etileno y monómero cloruro de vinilo</w:t>
            </w:r>
          </w:p>
          <w:p w:rsidR="00000000" w:rsidDel="00000000" w:rsidP="00000000" w:rsidRDefault="00000000" w:rsidRPr="00000000" w14:paraId="0000036E">
            <w:pPr>
              <w:rPr>
                <w:rFonts w:ascii="Arial" w:cs="Arial" w:eastAsia="Arial" w:hAnsi="Arial"/>
                <w:sz w:val="20"/>
                <w:szCs w:val="20"/>
              </w:rPr>
            </w:pPr>
            <w:r w:rsidDel="00000000" w:rsidR="00000000" w:rsidRPr="00000000">
              <w:rPr>
                <w:rFonts w:ascii="Arial" w:cs="Arial" w:eastAsia="Arial" w:hAnsi="Arial"/>
                <w:sz w:val="20"/>
                <w:szCs w:val="20"/>
                <w:rtl w:val="0"/>
              </w:rPr>
              <w:t xml:space="preserve">2B8f – Producción de negro de humo</w:t>
            </w:r>
          </w:p>
          <w:p w:rsidR="00000000" w:rsidDel="00000000" w:rsidP="00000000" w:rsidRDefault="00000000" w:rsidRPr="00000000" w14:paraId="0000036F">
            <w:pPr>
              <w:rPr>
                <w:rFonts w:ascii="Arial" w:cs="Arial" w:eastAsia="Arial" w:hAnsi="Arial"/>
                <w:sz w:val="20"/>
                <w:szCs w:val="20"/>
              </w:rPr>
            </w:pPr>
            <w:r w:rsidDel="00000000" w:rsidR="00000000" w:rsidRPr="00000000">
              <w:rPr>
                <w:rFonts w:ascii="Arial" w:cs="Arial" w:eastAsia="Arial" w:hAnsi="Arial"/>
                <w:sz w:val="20"/>
                <w:szCs w:val="20"/>
                <w:rtl w:val="0"/>
              </w:rPr>
              <w:t xml:space="preserve">2C2 - Producción de ferroaleaciones</w:t>
            </w:r>
          </w:p>
          <w:p w:rsidR="00000000" w:rsidDel="00000000" w:rsidP="00000000" w:rsidRDefault="00000000" w:rsidRPr="00000000" w14:paraId="00000370">
            <w:pPr>
              <w:rPr>
                <w:rFonts w:ascii="Arial" w:cs="Arial" w:eastAsia="Arial" w:hAnsi="Arial"/>
                <w:sz w:val="20"/>
                <w:szCs w:val="20"/>
              </w:rPr>
            </w:pPr>
            <w:r w:rsidDel="00000000" w:rsidR="00000000" w:rsidRPr="00000000">
              <w:rPr>
                <w:rFonts w:ascii="Arial" w:cs="Arial" w:eastAsia="Arial" w:hAnsi="Arial"/>
                <w:sz w:val="20"/>
                <w:szCs w:val="20"/>
                <w:rtl w:val="0"/>
              </w:rPr>
              <w:t xml:space="preserve">2D1 - Uso de lubricantes</w:t>
            </w:r>
          </w:p>
          <w:p w:rsidR="00000000" w:rsidDel="00000000" w:rsidP="00000000" w:rsidRDefault="00000000" w:rsidRPr="00000000" w14:paraId="00000371">
            <w:pPr>
              <w:rPr>
                <w:rFonts w:ascii="Arial" w:cs="Arial" w:eastAsia="Arial" w:hAnsi="Arial"/>
                <w:sz w:val="20"/>
                <w:szCs w:val="20"/>
              </w:rPr>
            </w:pPr>
            <w:r w:rsidDel="00000000" w:rsidR="00000000" w:rsidRPr="00000000">
              <w:rPr>
                <w:rFonts w:ascii="Arial" w:cs="Arial" w:eastAsia="Arial" w:hAnsi="Arial"/>
                <w:sz w:val="20"/>
                <w:szCs w:val="20"/>
                <w:rtl w:val="0"/>
              </w:rPr>
              <w:t xml:space="preserve">2D2 - Uso de cera de parafina</w:t>
            </w:r>
          </w:p>
          <w:p w:rsidR="00000000" w:rsidDel="00000000" w:rsidP="00000000" w:rsidRDefault="00000000" w:rsidRPr="00000000" w14:paraId="00000372">
            <w:pPr>
              <w:rPr>
                <w:rFonts w:ascii="Arial" w:cs="Arial" w:eastAsia="Arial" w:hAnsi="Arial"/>
                <w:sz w:val="20"/>
                <w:szCs w:val="20"/>
              </w:rPr>
            </w:pPr>
            <w:r w:rsidDel="00000000" w:rsidR="00000000" w:rsidRPr="00000000">
              <w:rPr>
                <w:rFonts w:ascii="Arial" w:cs="Arial" w:eastAsia="Arial" w:hAnsi="Arial"/>
                <w:sz w:val="20"/>
                <w:szCs w:val="20"/>
                <w:rtl w:val="0"/>
              </w:rPr>
              <w:t xml:space="preserve">4D2 - Tratamiento y eliminación de aguas residuales industriales</w:t>
            </w:r>
          </w:p>
          <w:p w:rsidR="00000000" w:rsidDel="00000000" w:rsidP="00000000" w:rsidRDefault="00000000" w:rsidRPr="00000000" w14:paraId="00000373">
            <w:pPr>
              <w:rPr>
                <w:rFonts w:ascii="Arial" w:cs="Arial" w:eastAsia="Arial" w:hAnsi="Arial"/>
                <w:color w:val="000000"/>
                <w:sz w:val="20"/>
                <w:szCs w:val="20"/>
                <w:highlight w:val="white"/>
              </w:rPr>
            </w:pPr>
            <w:r w:rsidDel="00000000" w:rsidR="00000000" w:rsidRPr="00000000">
              <w:rPr>
                <w:rFonts w:ascii="Arial" w:cs="Arial" w:eastAsia="Arial" w:hAnsi="Arial"/>
                <w:sz w:val="20"/>
                <w:szCs w:val="20"/>
                <w:rtl w:val="0"/>
              </w:rPr>
              <w:t xml:space="preserve">2B10 Otras industrias químicas*</w:t>
            </w:r>
            <w:r w:rsidDel="00000000" w:rsidR="00000000" w:rsidRPr="00000000">
              <w:rPr>
                <w:rtl w:val="0"/>
              </w:rPr>
            </w:r>
          </w:p>
          <w:p w:rsidR="00000000" w:rsidDel="00000000" w:rsidP="00000000" w:rsidRDefault="00000000" w:rsidRPr="00000000" w14:paraId="00000374">
            <w:pPr>
              <w:rPr>
                <w:rFonts w:ascii="Arial" w:cs="Arial" w:eastAsia="Arial" w:hAnsi="Arial"/>
                <w:color w:val="000000"/>
                <w:sz w:val="20"/>
                <w:szCs w:val="20"/>
                <w:highlight w:val="white"/>
              </w:rPr>
            </w:pPr>
            <w:r w:rsidDel="00000000" w:rsidR="00000000" w:rsidRPr="00000000">
              <w:rPr>
                <w:rFonts w:ascii="Arial" w:cs="Arial" w:eastAsia="Arial" w:hAnsi="Arial"/>
                <w:sz w:val="20"/>
                <w:szCs w:val="20"/>
                <w:rtl w:val="0"/>
              </w:rPr>
              <w:t xml:space="preserve">2D3 Uso de solventes*</w:t>
            </w:r>
            <w:r w:rsidDel="00000000" w:rsidR="00000000" w:rsidRPr="00000000">
              <w:rPr>
                <w:rtl w:val="0"/>
              </w:rPr>
            </w:r>
          </w:p>
          <w:p w:rsidR="00000000" w:rsidDel="00000000" w:rsidP="00000000" w:rsidRDefault="00000000" w:rsidRPr="00000000" w14:paraId="00000375">
            <w:pPr>
              <w:rPr>
                <w:rFonts w:ascii="Arial" w:cs="Arial" w:eastAsia="Arial" w:hAnsi="Arial"/>
                <w:sz w:val="19"/>
                <w:szCs w:val="19"/>
              </w:rPr>
            </w:pPr>
            <w:r w:rsidDel="00000000" w:rsidR="00000000" w:rsidRPr="00000000">
              <w:rPr>
                <w:rFonts w:ascii="Arial" w:cs="Arial" w:eastAsia="Arial" w:hAnsi="Arial"/>
                <w:sz w:val="19"/>
                <w:szCs w:val="19"/>
                <w:rtl w:val="0"/>
              </w:rPr>
              <w:t xml:space="preserve">2H2 Industria de la alimentación*</w:t>
            </w:r>
          </w:p>
        </w:tc>
      </w:tr>
      <w:tr>
        <w:trPr>
          <w:cantSplit w:val="0"/>
          <w:trHeight w:val="857" w:hRule="atLeast"/>
          <w:tblHeader w:val="0"/>
        </w:trPr>
        <w:tc>
          <w:tcPr>
            <w:vMerge w:val="continue"/>
          </w:tcPr>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p w:rsidR="00000000" w:rsidDel="00000000" w:rsidP="00000000" w:rsidRDefault="00000000" w:rsidRPr="00000000" w14:paraId="00000377">
            <w:pPr>
              <w:rPr>
                <w:rFonts w:ascii="Arial" w:cs="Arial" w:eastAsia="Arial" w:hAnsi="Arial"/>
                <w:sz w:val="20"/>
                <w:szCs w:val="20"/>
              </w:rPr>
            </w:pPr>
            <w:r w:rsidDel="00000000" w:rsidR="00000000" w:rsidRPr="00000000">
              <w:rPr>
                <w:rFonts w:ascii="Arial" w:cs="Arial" w:eastAsia="Arial" w:hAnsi="Arial"/>
                <w:sz w:val="20"/>
                <w:szCs w:val="20"/>
                <w:rtl w:val="0"/>
              </w:rPr>
              <w:t xml:space="preserve">Proyección y retroproyección de población</w:t>
            </w:r>
          </w:p>
        </w:tc>
        <w:tc>
          <w:tcPr/>
          <w:p w:rsidR="00000000" w:rsidDel="00000000" w:rsidP="00000000" w:rsidRDefault="00000000" w:rsidRPr="00000000" w14:paraId="00000378">
            <w:pPr>
              <w:rPr>
                <w:rFonts w:ascii="Arial" w:cs="Arial" w:eastAsia="Arial" w:hAnsi="Arial"/>
                <w:sz w:val="20"/>
                <w:szCs w:val="20"/>
              </w:rPr>
            </w:pPr>
            <w:r w:rsidDel="00000000" w:rsidR="00000000" w:rsidRPr="00000000">
              <w:rPr>
                <w:rFonts w:ascii="Arial" w:cs="Arial" w:eastAsia="Arial" w:hAnsi="Arial"/>
                <w:sz w:val="20"/>
                <w:szCs w:val="20"/>
                <w:rtl w:val="0"/>
              </w:rPr>
              <w:t xml:space="preserve">4A - Eliminación de desechos sólidos</w:t>
            </w:r>
          </w:p>
          <w:p w:rsidR="00000000" w:rsidDel="00000000" w:rsidP="00000000" w:rsidRDefault="00000000" w:rsidRPr="00000000" w14:paraId="00000379">
            <w:pPr>
              <w:rPr>
                <w:rFonts w:ascii="Arial" w:cs="Arial" w:eastAsia="Arial" w:hAnsi="Arial"/>
                <w:sz w:val="20"/>
                <w:szCs w:val="20"/>
              </w:rPr>
            </w:pPr>
            <w:r w:rsidDel="00000000" w:rsidR="00000000" w:rsidRPr="00000000">
              <w:rPr>
                <w:rFonts w:ascii="Arial" w:cs="Arial" w:eastAsia="Arial" w:hAnsi="Arial"/>
                <w:sz w:val="20"/>
                <w:szCs w:val="20"/>
                <w:rtl w:val="0"/>
              </w:rPr>
              <w:t xml:space="preserve">4C2 Incineración abierta de desechos</w:t>
            </w:r>
          </w:p>
          <w:p w:rsidR="00000000" w:rsidDel="00000000" w:rsidP="00000000" w:rsidRDefault="00000000" w:rsidRPr="00000000" w14:paraId="0000037A">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500" w:hRule="atLeast"/>
          <w:tblHeader w:val="0"/>
        </w:trPr>
        <w:tc>
          <w:tcPr>
            <w:vMerge w:val="continue"/>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7C">
            <w:pPr>
              <w:rPr>
                <w:rFonts w:ascii="Arial" w:cs="Arial" w:eastAsia="Arial" w:hAnsi="Arial"/>
                <w:sz w:val="20"/>
                <w:szCs w:val="20"/>
              </w:rPr>
            </w:pPr>
            <w:r w:rsidDel="00000000" w:rsidR="00000000" w:rsidRPr="00000000">
              <w:rPr>
                <w:rFonts w:ascii="Arial" w:cs="Arial" w:eastAsia="Arial" w:hAnsi="Arial"/>
                <w:sz w:val="20"/>
                <w:szCs w:val="20"/>
                <w:rtl w:val="0"/>
              </w:rPr>
              <w:t xml:space="preserve">Encuesta nacional de calidad de vida</w:t>
            </w:r>
          </w:p>
          <w:p w:rsidR="00000000" w:rsidDel="00000000" w:rsidP="00000000" w:rsidRDefault="00000000" w:rsidRPr="00000000" w14:paraId="0000037D">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7E">
            <w:pPr>
              <w:rPr>
                <w:rFonts w:ascii="Arial" w:cs="Arial" w:eastAsia="Arial" w:hAnsi="Arial"/>
                <w:sz w:val="20"/>
                <w:szCs w:val="20"/>
              </w:rPr>
            </w:pPr>
            <w:r w:rsidDel="00000000" w:rsidR="00000000" w:rsidRPr="00000000">
              <w:rPr>
                <w:rFonts w:ascii="Arial" w:cs="Arial" w:eastAsia="Arial" w:hAnsi="Arial"/>
                <w:sz w:val="20"/>
                <w:szCs w:val="20"/>
                <w:rtl w:val="0"/>
              </w:rPr>
              <w:t xml:space="preserve">4C2 Incineración abierta de desechos</w:t>
            </w:r>
          </w:p>
          <w:p w:rsidR="00000000" w:rsidDel="00000000" w:rsidP="00000000" w:rsidRDefault="00000000" w:rsidRPr="00000000" w14:paraId="0000037F">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389" w:hRule="atLeast"/>
          <w:tblHeader w:val="0"/>
        </w:trPr>
        <w:tc>
          <w:tcPr>
            <w:vMerge w:val="continue"/>
          </w:tcPr>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81">
            <w:pPr>
              <w:rPr>
                <w:rFonts w:ascii="Arial" w:cs="Arial" w:eastAsia="Arial" w:hAnsi="Arial"/>
                <w:sz w:val="20"/>
                <w:szCs w:val="20"/>
              </w:rPr>
            </w:pPr>
            <w:r w:rsidDel="00000000" w:rsidR="00000000" w:rsidRPr="00000000">
              <w:rPr>
                <w:rFonts w:ascii="Arial" w:cs="Arial" w:eastAsia="Arial" w:hAnsi="Arial"/>
                <w:sz w:val="20"/>
                <w:szCs w:val="20"/>
                <w:rtl w:val="0"/>
              </w:rPr>
              <w:t xml:space="preserve">Cuenta Satélite de Minería - CSM</w:t>
            </w:r>
          </w:p>
        </w:tc>
        <w:tc>
          <w:tcPr/>
          <w:p w:rsidR="00000000" w:rsidDel="00000000" w:rsidP="00000000" w:rsidRDefault="00000000" w:rsidRPr="00000000" w14:paraId="00000382">
            <w:pPr>
              <w:rPr>
                <w:rFonts w:ascii="Arial" w:cs="Arial" w:eastAsia="Arial" w:hAnsi="Arial"/>
                <w:sz w:val="20"/>
                <w:szCs w:val="20"/>
              </w:rPr>
            </w:pPr>
            <w:r w:rsidDel="00000000" w:rsidR="00000000" w:rsidRPr="00000000">
              <w:rPr>
                <w:rFonts w:ascii="Arial" w:cs="Arial" w:eastAsia="Arial" w:hAnsi="Arial"/>
                <w:sz w:val="20"/>
                <w:szCs w:val="20"/>
                <w:rtl w:val="0"/>
              </w:rPr>
              <w:t xml:space="preserve">2A5a Cantería y minería de minerales diferentes al carbón*</w:t>
            </w:r>
          </w:p>
        </w:tc>
      </w:tr>
      <w:tr>
        <w:trPr>
          <w:cantSplit w:val="0"/>
          <w:trHeight w:val="211" w:hRule="atLeast"/>
          <w:tblHeader w:val="0"/>
        </w:trPr>
        <w:tc>
          <w:tcPr>
            <w:vMerge w:val="continue"/>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84">
            <w:pPr>
              <w:rPr>
                <w:rFonts w:ascii="Arial" w:cs="Arial" w:eastAsia="Arial" w:hAnsi="Arial"/>
                <w:sz w:val="20"/>
                <w:szCs w:val="20"/>
              </w:rPr>
            </w:pPr>
            <w:r w:rsidDel="00000000" w:rsidR="00000000" w:rsidRPr="00000000">
              <w:rPr>
                <w:rFonts w:ascii="Arial" w:cs="Arial" w:eastAsia="Arial" w:hAnsi="Arial"/>
                <w:sz w:val="20"/>
                <w:szCs w:val="20"/>
                <w:rtl w:val="0"/>
              </w:rPr>
              <w:t xml:space="preserve">Censo de Edificaciones - CEED</w:t>
            </w:r>
          </w:p>
        </w:tc>
        <w:tc>
          <w:tcPr/>
          <w:p w:rsidR="00000000" w:rsidDel="00000000" w:rsidP="00000000" w:rsidRDefault="00000000" w:rsidRPr="00000000" w14:paraId="00000385">
            <w:pPr>
              <w:rPr>
                <w:rFonts w:ascii="Arial" w:cs="Arial" w:eastAsia="Arial" w:hAnsi="Arial"/>
                <w:sz w:val="19"/>
                <w:szCs w:val="19"/>
              </w:rPr>
            </w:pPr>
            <w:r w:rsidDel="00000000" w:rsidR="00000000" w:rsidRPr="00000000">
              <w:rPr>
                <w:rFonts w:ascii="Arial" w:cs="Arial" w:eastAsia="Arial" w:hAnsi="Arial"/>
                <w:color w:val="000000"/>
                <w:sz w:val="19"/>
                <w:szCs w:val="19"/>
                <w:highlight w:val="white"/>
                <w:rtl w:val="0"/>
              </w:rPr>
              <w:t xml:space="preserve">2A5b Construcción y demolición</w:t>
            </w:r>
            <w:r w:rsidDel="00000000" w:rsidR="00000000" w:rsidRPr="00000000">
              <w:rPr>
                <w:rFonts w:ascii="Arial" w:cs="Arial" w:eastAsia="Arial" w:hAnsi="Arial"/>
                <w:sz w:val="19"/>
                <w:szCs w:val="19"/>
                <w:rtl w:val="0"/>
              </w:rPr>
              <w:t xml:space="preserve">*</w:t>
            </w:r>
          </w:p>
        </w:tc>
      </w:tr>
      <w:tr>
        <w:trPr>
          <w:cantSplit w:val="0"/>
          <w:trHeight w:val="359" w:hRule="atLeast"/>
          <w:tblHeader w:val="0"/>
        </w:trPr>
        <w:tc>
          <w:tcPr/>
          <w:p w:rsidR="00000000" w:rsidDel="00000000" w:rsidP="00000000" w:rsidRDefault="00000000" w:rsidRPr="00000000" w14:paraId="00000386">
            <w:pPr>
              <w:rPr>
                <w:rFonts w:ascii="Arial" w:cs="Arial" w:eastAsia="Arial" w:hAnsi="Arial"/>
                <w:sz w:val="20"/>
                <w:szCs w:val="20"/>
              </w:rPr>
            </w:pPr>
            <w:r w:rsidDel="00000000" w:rsidR="00000000" w:rsidRPr="00000000">
              <w:rPr>
                <w:rFonts w:ascii="Arial" w:cs="Arial" w:eastAsia="Arial" w:hAnsi="Arial"/>
                <w:sz w:val="20"/>
                <w:szCs w:val="20"/>
                <w:rtl w:val="0"/>
              </w:rPr>
              <w:t xml:space="preserve">EAAB</w:t>
            </w:r>
          </w:p>
        </w:tc>
        <w:tc>
          <w:tcPr/>
          <w:p w:rsidR="00000000" w:rsidDel="00000000" w:rsidP="00000000" w:rsidRDefault="00000000" w:rsidRPr="00000000" w14:paraId="00000387">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de gestión PTAR Salitre</w:t>
            </w:r>
          </w:p>
        </w:tc>
        <w:tc>
          <w:tcPr/>
          <w:p w:rsidR="00000000" w:rsidDel="00000000" w:rsidP="00000000" w:rsidRDefault="00000000" w:rsidRPr="00000000" w14:paraId="00000388">
            <w:pPr>
              <w:rPr>
                <w:rFonts w:ascii="Arial" w:cs="Arial" w:eastAsia="Arial" w:hAnsi="Arial"/>
                <w:color w:val="000000"/>
                <w:sz w:val="20"/>
                <w:szCs w:val="20"/>
                <w:highlight w:val="white"/>
              </w:rPr>
            </w:pPr>
            <w:r w:rsidDel="00000000" w:rsidR="00000000" w:rsidRPr="00000000">
              <w:rPr>
                <w:rFonts w:ascii="Arial" w:cs="Arial" w:eastAsia="Arial" w:hAnsi="Arial"/>
                <w:sz w:val="20"/>
                <w:szCs w:val="20"/>
                <w:rtl w:val="0"/>
              </w:rPr>
              <w:t xml:space="preserve">4D1 Tratamiento y eliminación de aguas residuales domésticas</w:t>
            </w:r>
            <w:r w:rsidDel="00000000" w:rsidR="00000000" w:rsidRPr="00000000">
              <w:rPr>
                <w:rtl w:val="0"/>
              </w:rPr>
            </w:r>
          </w:p>
        </w:tc>
      </w:tr>
      <w:tr>
        <w:trPr>
          <w:cantSplit w:val="0"/>
          <w:trHeight w:val="500" w:hRule="atLeast"/>
          <w:tblHeader w:val="0"/>
        </w:trPr>
        <w:tc>
          <w:tcPr>
            <w:vMerge w:val="restart"/>
          </w:tcPr>
          <w:p w:rsidR="00000000" w:rsidDel="00000000" w:rsidP="00000000" w:rsidRDefault="00000000" w:rsidRPr="00000000" w14:paraId="00000389">
            <w:pPr>
              <w:rPr>
                <w:rFonts w:ascii="Arial" w:cs="Arial" w:eastAsia="Arial" w:hAnsi="Arial"/>
                <w:sz w:val="20"/>
                <w:szCs w:val="20"/>
              </w:rPr>
            </w:pPr>
            <w:r w:rsidDel="00000000" w:rsidR="00000000" w:rsidRPr="00000000">
              <w:rPr>
                <w:rFonts w:ascii="Arial" w:cs="Arial" w:eastAsia="Arial" w:hAnsi="Arial"/>
                <w:sz w:val="20"/>
                <w:szCs w:val="20"/>
                <w:rtl w:val="0"/>
              </w:rPr>
              <w:t xml:space="preserve">ECOPETROL</w:t>
            </w:r>
          </w:p>
        </w:tc>
        <w:tc>
          <w:tcPr/>
          <w:p w:rsidR="00000000" w:rsidDel="00000000" w:rsidP="00000000" w:rsidRDefault="00000000" w:rsidRPr="00000000" w14:paraId="0000038A">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interno de consumo de combustible</w:t>
            </w:r>
          </w:p>
        </w:tc>
        <w:tc>
          <w:tcPr/>
          <w:p w:rsidR="00000000" w:rsidDel="00000000" w:rsidP="00000000" w:rsidRDefault="00000000" w:rsidRPr="00000000" w14:paraId="0000038B">
            <w:pPr>
              <w:rPr>
                <w:rFonts w:ascii="Arial" w:cs="Arial" w:eastAsia="Arial" w:hAnsi="Arial"/>
                <w:sz w:val="20"/>
                <w:szCs w:val="20"/>
              </w:rPr>
            </w:pPr>
            <w:r w:rsidDel="00000000" w:rsidR="00000000" w:rsidRPr="00000000">
              <w:rPr>
                <w:rFonts w:ascii="Arial" w:cs="Arial" w:eastAsia="Arial" w:hAnsi="Arial"/>
                <w:sz w:val="20"/>
                <w:szCs w:val="20"/>
                <w:rtl w:val="0"/>
              </w:rPr>
              <w:t xml:space="preserve">1A1b Refinación de petróleo</w:t>
            </w:r>
          </w:p>
        </w:tc>
      </w:tr>
      <w:tr>
        <w:trPr>
          <w:cantSplit w:val="0"/>
          <w:trHeight w:val="212" w:hRule="atLeast"/>
          <w:tblHeader w:val="0"/>
        </w:trPr>
        <w:tc>
          <w:tcPr>
            <w:vMerge w:val="continue"/>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8D">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VCM</w:t>
            </w:r>
          </w:p>
        </w:tc>
        <w:tc>
          <w:tcPr/>
          <w:p w:rsidR="00000000" w:rsidDel="00000000" w:rsidP="00000000" w:rsidRDefault="00000000" w:rsidRPr="00000000" w14:paraId="0000038E">
            <w:pPr>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tc>
      </w:tr>
      <w:tr>
        <w:trPr>
          <w:cantSplit w:val="0"/>
          <w:trHeight w:val="399" w:hRule="atLeast"/>
          <w:tblHeader w:val="0"/>
        </w:trPr>
        <w:tc>
          <w:tcPr>
            <w:vMerge w:val="continue"/>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90">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tc>
        <w:tc>
          <w:tcPr/>
          <w:p w:rsidR="00000000" w:rsidDel="00000000" w:rsidP="00000000" w:rsidRDefault="00000000" w:rsidRPr="00000000" w14:paraId="00000391">
            <w:pPr>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p w:rsidR="00000000" w:rsidDel="00000000" w:rsidP="00000000" w:rsidRDefault="00000000" w:rsidRPr="00000000" w14:paraId="00000392">
            <w:pPr>
              <w:rPr>
                <w:rFonts w:ascii="Arial" w:cs="Arial" w:eastAsia="Arial" w:hAnsi="Arial"/>
                <w:sz w:val="20"/>
                <w:szCs w:val="20"/>
              </w:rPr>
            </w:pPr>
            <w:r w:rsidDel="00000000" w:rsidR="00000000" w:rsidRPr="00000000">
              <w:rPr>
                <w:rFonts w:ascii="Arial" w:cs="Arial" w:eastAsia="Arial" w:hAnsi="Arial"/>
                <w:sz w:val="20"/>
                <w:szCs w:val="20"/>
                <w:rtl w:val="0"/>
              </w:rPr>
              <w:t xml:space="preserve">2B8b – Etileno</w:t>
            </w:r>
          </w:p>
        </w:tc>
      </w:tr>
      <w:tr>
        <w:trPr>
          <w:cantSplit w:val="0"/>
          <w:trHeight w:val="115" w:hRule="atLeast"/>
          <w:tblHeader w:val="0"/>
        </w:trPr>
        <w:tc>
          <w:tcPr/>
          <w:p w:rsidR="00000000" w:rsidDel="00000000" w:rsidP="00000000" w:rsidRDefault="00000000" w:rsidRPr="00000000" w14:paraId="00000393">
            <w:pPr>
              <w:rPr>
                <w:rFonts w:ascii="Arial" w:cs="Arial" w:eastAsia="Arial" w:hAnsi="Arial"/>
                <w:sz w:val="20"/>
                <w:szCs w:val="20"/>
              </w:rPr>
            </w:pPr>
            <w:r w:rsidDel="00000000" w:rsidR="00000000" w:rsidRPr="00000000">
              <w:rPr>
                <w:rFonts w:ascii="Arial" w:cs="Arial" w:eastAsia="Arial" w:hAnsi="Arial"/>
                <w:sz w:val="20"/>
                <w:szCs w:val="20"/>
                <w:rtl w:val="0"/>
              </w:rPr>
              <w:t xml:space="preserve">Empresa del sector</w:t>
            </w:r>
          </w:p>
        </w:tc>
        <w:tc>
          <w:tcPr/>
          <w:p w:rsidR="00000000" w:rsidDel="00000000" w:rsidP="00000000" w:rsidRDefault="00000000" w:rsidRPr="00000000" w14:paraId="00000394">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tc>
        <w:tc>
          <w:tcPr/>
          <w:p w:rsidR="00000000" w:rsidDel="00000000" w:rsidP="00000000" w:rsidRDefault="00000000" w:rsidRPr="00000000" w14:paraId="00000395">
            <w:pPr>
              <w:rPr>
                <w:rFonts w:ascii="Arial" w:cs="Arial" w:eastAsia="Arial" w:hAnsi="Arial"/>
                <w:sz w:val="20"/>
                <w:szCs w:val="20"/>
              </w:rPr>
            </w:pPr>
            <w:r w:rsidDel="00000000" w:rsidR="00000000" w:rsidRPr="00000000">
              <w:rPr>
                <w:rFonts w:ascii="Arial" w:cs="Arial" w:eastAsia="Arial" w:hAnsi="Arial"/>
                <w:sz w:val="20"/>
                <w:szCs w:val="20"/>
                <w:rtl w:val="0"/>
              </w:rPr>
              <w:t xml:space="preserve">2C5 - Producción de plomo</w:t>
            </w:r>
          </w:p>
        </w:tc>
      </w:tr>
      <w:tr>
        <w:trPr>
          <w:cantSplit w:val="0"/>
          <w:trHeight w:val="413" w:hRule="atLeast"/>
          <w:tblHeader w:val="0"/>
        </w:trPr>
        <w:tc>
          <w:tcPr/>
          <w:p w:rsidR="00000000" w:rsidDel="00000000" w:rsidP="00000000" w:rsidRDefault="00000000" w:rsidRPr="00000000" w14:paraId="00000396">
            <w:pPr>
              <w:rPr>
                <w:rFonts w:ascii="Arial" w:cs="Arial" w:eastAsia="Arial" w:hAnsi="Arial"/>
                <w:sz w:val="20"/>
                <w:szCs w:val="20"/>
              </w:rPr>
            </w:pPr>
            <w:r w:rsidDel="00000000" w:rsidR="00000000" w:rsidRPr="00000000">
              <w:rPr>
                <w:rFonts w:ascii="Arial" w:cs="Arial" w:eastAsia="Arial" w:hAnsi="Arial"/>
                <w:sz w:val="20"/>
                <w:szCs w:val="20"/>
                <w:rtl w:val="0"/>
              </w:rPr>
              <w:t xml:space="preserve">EMPAS</w:t>
            </w:r>
          </w:p>
        </w:tc>
        <w:tc>
          <w:tcPr/>
          <w:p w:rsidR="00000000" w:rsidDel="00000000" w:rsidP="00000000" w:rsidRDefault="00000000" w:rsidRPr="00000000" w14:paraId="00000397">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de gestión PTAR Rio Frio</w:t>
            </w:r>
          </w:p>
        </w:tc>
        <w:tc>
          <w:tcPr/>
          <w:p w:rsidR="00000000" w:rsidDel="00000000" w:rsidP="00000000" w:rsidRDefault="00000000" w:rsidRPr="00000000" w14:paraId="00000398">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413" w:hRule="atLeast"/>
          <w:tblHeader w:val="0"/>
        </w:trPr>
        <w:tc>
          <w:tcPr/>
          <w:p w:rsidR="00000000" w:rsidDel="00000000" w:rsidP="00000000" w:rsidRDefault="00000000" w:rsidRPr="00000000" w14:paraId="00000399">
            <w:pPr>
              <w:rPr>
                <w:rFonts w:ascii="Arial" w:cs="Arial" w:eastAsia="Arial" w:hAnsi="Arial"/>
                <w:sz w:val="20"/>
                <w:szCs w:val="20"/>
              </w:rPr>
            </w:pPr>
            <w:r w:rsidDel="00000000" w:rsidR="00000000" w:rsidRPr="00000000">
              <w:rPr>
                <w:rFonts w:ascii="Arial" w:cs="Arial" w:eastAsia="Arial" w:hAnsi="Arial"/>
                <w:sz w:val="20"/>
                <w:szCs w:val="20"/>
                <w:rtl w:val="0"/>
              </w:rPr>
              <w:t xml:space="preserve">EPA</w:t>
            </w:r>
          </w:p>
        </w:tc>
        <w:tc>
          <w:tcPr/>
          <w:p w:rsidR="00000000" w:rsidDel="00000000" w:rsidP="00000000" w:rsidRDefault="00000000" w:rsidRPr="00000000" w14:paraId="0000039A">
            <w:pPr>
              <w:rPr>
                <w:rFonts w:ascii="Arial" w:cs="Arial" w:eastAsia="Arial" w:hAnsi="Arial"/>
                <w:sz w:val="20"/>
                <w:szCs w:val="20"/>
              </w:rPr>
            </w:pPr>
            <w:r w:rsidDel="00000000" w:rsidR="00000000" w:rsidRPr="00000000">
              <w:rPr>
                <w:rFonts w:ascii="Arial" w:cs="Arial" w:eastAsia="Arial" w:hAnsi="Arial"/>
                <w:sz w:val="20"/>
                <w:szCs w:val="20"/>
                <w:rtl w:val="0"/>
              </w:rPr>
              <w:t xml:space="preserve">EPA - Median Life, Annual Activity, and Load Factor Values for Nonroad Engine Emissions Modeling</w:t>
            </w:r>
          </w:p>
        </w:tc>
        <w:tc>
          <w:tcPr/>
          <w:p w:rsidR="00000000" w:rsidDel="00000000" w:rsidP="00000000" w:rsidRDefault="00000000" w:rsidRPr="00000000" w14:paraId="0000039B">
            <w:pPr>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y piscifactorías (Móvil)</w:t>
            </w:r>
          </w:p>
          <w:p w:rsidR="00000000" w:rsidDel="00000000" w:rsidP="00000000" w:rsidRDefault="00000000" w:rsidRPr="00000000" w14:paraId="0000039C">
            <w:pPr>
              <w:rPr>
                <w:rFonts w:ascii="Arial" w:cs="Arial" w:eastAsia="Arial" w:hAnsi="Arial"/>
                <w:sz w:val="20"/>
                <w:szCs w:val="20"/>
              </w:rPr>
            </w:pPr>
            <w:r w:rsidDel="00000000" w:rsidR="00000000" w:rsidRPr="00000000">
              <w:rPr>
                <w:rFonts w:ascii="Arial" w:cs="Arial" w:eastAsia="Arial" w:hAnsi="Arial"/>
                <w:sz w:val="20"/>
                <w:szCs w:val="20"/>
                <w:rtl w:val="0"/>
              </w:rPr>
              <w:t xml:space="preserve">1A3eii Todo terreno</w:t>
            </w:r>
          </w:p>
        </w:tc>
      </w:tr>
      <w:tr>
        <w:trPr>
          <w:cantSplit w:val="0"/>
          <w:trHeight w:val="333" w:hRule="atLeast"/>
          <w:tblHeader w:val="0"/>
        </w:trPr>
        <w:tc>
          <w:tcPr/>
          <w:p w:rsidR="00000000" w:rsidDel="00000000" w:rsidP="00000000" w:rsidRDefault="00000000" w:rsidRPr="00000000" w14:paraId="0000039D">
            <w:pPr>
              <w:rPr>
                <w:rFonts w:ascii="Arial" w:cs="Arial" w:eastAsia="Arial" w:hAnsi="Arial"/>
                <w:sz w:val="20"/>
                <w:szCs w:val="20"/>
              </w:rPr>
            </w:pPr>
            <w:r w:rsidDel="00000000" w:rsidR="00000000" w:rsidRPr="00000000">
              <w:rPr>
                <w:rFonts w:ascii="Arial" w:cs="Arial" w:eastAsia="Arial" w:hAnsi="Arial"/>
                <w:sz w:val="20"/>
                <w:szCs w:val="20"/>
                <w:rtl w:val="0"/>
              </w:rPr>
              <w:t xml:space="preserve">EPM</w:t>
            </w:r>
          </w:p>
        </w:tc>
        <w:tc>
          <w:tcPr/>
          <w:p w:rsidR="00000000" w:rsidDel="00000000" w:rsidP="00000000" w:rsidRDefault="00000000" w:rsidRPr="00000000" w14:paraId="0000039E">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de gestión PTAR San Fernando</w:t>
            </w:r>
          </w:p>
        </w:tc>
        <w:tc>
          <w:tcPr/>
          <w:p w:rsidR="00000000" w:rsidDel="00000000" w:rsidP="00000000" w:rsidRDefault="00000000" w:rsidRPr="00000000" w14:paraId="0000039F">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425" w:hRule="atLeast"/>
          <w:tblHeader w:val="0"/>
        </w:trPr>
        <w:tc>
          <w:tcPr/>
          <w:p w:rsidR="00000000" w:rsidDel="00000000" w:rsidP="00000000" w:rsidRDefault="00000000" w:rsidRPr="00000000" w14:paraId="000003A0">
            <w:pPr>
              <w:rPr>
                <w:rFonts w:ascii="Arial" w:cs="Arial" w:eastAsia="Arial" w:hAnsi="Arial"/>
                <w:sz w:val="20"/>
                <w:szCs w:val="20"/>
              </w:rPr>
            </w:pPr>
            <w:r w:rsidDel="00000000" w:rsidR="00000000" w:rsidRPr="00000000">
              <w:rPr>
                <w:rFonts w:ascii="Arial" w:cs="Arial" w:eastAsia="Arial" w:hAnsi="Arial"/>
                <w:sz w:val="20"/>
                <w:szCs w:val="20"/>
                <w:rtl w:val="0"/>
              </w:rPr>
              <w:t xml:space="preserve">EMPCALI</w:t>
            </w:r>
          </w:p>
        </w:tc>
        <w:tc>
          <w:tcPr/>
          <w:p w:rsidR="00000000" w:rsidDel="00000000" w:rsidP="00000000" w:rsidRDefault="00000000" w:rsidRPr="00000000" w14:paraId="000003A1">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 de gestión PTAR Cañaveralejo</w:t>
            </w:r>
          </w:p>
        </w:tc>
        <w:tc>
          <w:tcPr/>
          <w:p w:rsidR="00000000" w:rsidDel="00000000" w:rsidP="00000000" w:rsidRDefault="00000000" w:rsidRPr="00000000" w14:paraId="000003A2">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500" w:hRule="atLeast"/>
          <w:tblHeader w:val="0"/>
        </w:trPr>
        <w:tc>
          <w:tcPr/>
          <w:p w:rsidR="00000000" w:rsidDel="00000000" w:rsidP="00000000" w:rsidRDefault="00000000" w:rsidRPr="00000000" w14:paraId="000003A3">
            <w:pPr>
              <w:rPr>
                <w:rFonts w:ascii="Arial" w:cs="Arial" w:eastAsia="Arial" w:hAnsi="Arial"/>
                <w:sz w:val="20"/>
                <w:szCs w:val="20"/>
              </w:rPr>
            </w:pPr>
            <w:r w:rsidDel="00000000" w:rsidR="00000000" w:rsidRPr="00000000">
              <w:rPr>
                <w:rFonts w:ascii="Arial" w:cs="Arial" w:eastAsia="Arial" w:hAnsi="Arial"/>
                <w:sz w:val="20"/>
                <w:szCs w:val="20"/>
                <w:rtl w:val="0"/>
              </w:rPr>
              <w:t xml:space="preserve">EXXON y CHEVRON</w:t>
            </w:r>
          </w:p>
        </w:tc>
        <w:tc>
          <w:tcPr/>
          <w:p w:rsidR="00000000" w:rsidDel="00000000" w:rsidP="00000000" w:rsidRDefault="00000000" w:rsidRPr="00000000" w14:paraId="000003A4">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tc>
        <w:tc>
          <w:tcPr/>
          <w:p w:rsidR="00000000" w:rsidDel="00000000" w:rsidP="00000000" w:rsidRDefault="00000000" w:rsidRPr="00000000" w14:paraId="000003A5">
            <w:pPr>
              <w:rPr>
                <w:rFonts w:ascii="Arial" w:cs="Arial" w:eastAsia="Arial" w:hAnsi="Arial"/>
                <w:sz w:val="20"/>
                <w:szCs w:val="20"/>
              </w:rPr>
            </w:pPr>
            <w:r w:rsidDel="00000000" w:rsidR="00000000" w:rsidRPr="00000000">
              <w:rPr>
                <w:rFonts w:ascii="Arial" w:cs="Arial" w:eastAsia="Arial" w:hAnsi="Arial"/>
                <w:sz w:val="20"/>
                <w:szCs w:val="20"/>
                <w:rtl w:val="0"/>
              </w:rPr>
              <w:t xml:space="preserve">1A3d Navegación marítima y fluvial</w:t>
            </w:r>
          </w:p>
        </w:tc>
      </w:tr>
      <w:tr>
        <w:trPr>
          <w:cantSplit w:val="0"/>
          <w:trHeight w:val="191" w:hRule="atLeast"/>
          <w:tblHeader w:val="0"/>
        </w:trPr>
        <w:tc>
          <w:tcPr/>
          <w:p w:rsidR="00000000" w:rsidDel="00000000" w:rsidP="00000000" w:rsidRDefault="00000000" w:rsidRPr="00000000" w14:paraId="000003A6">
            <w:pPr>
              <w:rPr>
                <w:rFonts w:ascii="Arial" w:cs="Arial" w:eastAsia="Arial" w:hAnsi="Arial"/>
                <w:sz w:val="20"/>
                <w:szCs w:val="20"/>
              </w:rPr>
            </w:pPr>
            <w:r w:rsidDel="00000000" w:rsidR="00000000" w:rsidRPr="00000000">
              <w:rPr>
                <w:rFonts w:ascii="Arial" w:cs="Arial" w:eastAsia="Arial" w:hAnsi="Arial"/>
                <w:sz w:val="20"/>
                <w:szCs w:val="20"/>
                <w:rtl w:val="0"/>
              </w:rPr>
              <w:t xml:space="preserve">IPCC</w:t>
            </w:r>
          </w:p>
        </w:tc>
        <w:tc>
          <w:tcPr/>
          <w:p w:rsidR="00000000" w:rsidDel="00000000" w:rsidP="00000000" w:rsidRDefault="00000000" w:rsidRPr="00000000" w14:paraId="000003A7">
            <w:pPr>
              <w:rPr>
                <w:rFonts w:ascii="Arial" w:cs="Arial" w:eastAsia="Arial" w:hAnsi="Arial"/>
                <w:sz w:val="20"/>
                <w:szCs w:val="20"/>
              </w:rPr>
            </w:pPr>
            <w:r w:rsidDel="00000000" w:rsidR="00000000" w:rsidRPr="00000000">
              <w:rPr>
                <w:rFonts w:ascii="Arial" w:cs="Arial" w:eastAsia="Arial" w:hAnsi="Arial"/>
                <w:sz w:val="20"/>
                <w:szCs w:val="20"/>
                <w:rtl w:val="0"/>
              </w:rPr>
              <w:t xml:space="preserve">Guías metodológicas IPCC 2006</w:t>
            </w:r>
          </w:p>
        </w:tc>
        <w:tc>
          <w:tcPr/>
          <w:p w:rsidR="00000000" w:rsidDel="00000000" w:rsidP="00000000" w:rsidRDefault="00000000" w:rsidRPr="00000000" w14:paraId="000003A8">
            <w:pPr>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tc>
      </w:tr>
      <w:tr>
        <w:trPr>
          <w:cantSplit w:val="0"/>
          <w:trHeight w:val="662" w:hRule="atLeast"/>
          <w:tblHeader w:val="0"/>
        </w:trPr>
        <w:tc>
          <w:tcPr/>
          <w:p w:rsidR="00000000" w:rsidDel="00000000" w:rsidP="00000000" w:rsidRDefault="00000000" w:rsidRPr="00000000" w14:paraId="000003A9">
            <w:pPr>
              <w:rPr>
                <w:rFonts w:ascii="Arial" w:cs="Arial" w:eastAsia="Arial" w:hAnsi="Arial"/>
                <w:sz w:val="20"/>
                <w:szCs w:val="20"/>
              </w:rPr>
            </w:pPr>
            <w:r w:rsidDel="00000000" w:rsidR="00000000" w:rsidRPr="00000000">
              <w:rPr>
                <w:rFonts w:ascii="Arial" w:cs="Arial" w:eastAsia="Arial" w:hAnsi="Arial"/>
                <w:sz w:val="20"/>
                <w:szCs w:val="20"/>
                <w:rtl w:val="0"/>
              </w:rPr>
              <w:t xml:space="preserve">IPSE - SUI</w:t>
            </w:r>
          </w:p>
        </w:tc>
        <w:tc>
          <w:tcPr/>
          <w:p w:rsidR="00000000" w:rsidDel="00000000" w:rsidP="00000000" w:rsidRDefault="00000000" w:rsidRPr="00000000" w14:paraId="000003AA">
            <w:pPr>
              <w:rPr>
                <w:rFonts w:ascii="Arial" w:cs="Arial" w:eastAsia="Arial" w:hAnsi="Arial"/>
                <w:sz w:val="20"/>
                <w:szCs w:val="20"/>
              </w:rPr>
            </w:pPr>
            <w:r w:rsidDel="00000000" w:rsidR="00000000" w:rsidRPr="00000000">
              <w:rPr>
                <w:rFonts w:ascii="Arial" w:cs="Arial" w:eastAsia="Arial" w:hAnsi="Arial"/>
                <w:sz w:val="20"/>
                <w:szCs w:val="20"/>
                <w:rtl w:val="0"/>
              </w:rPr>
              <w:t xml:space="preserve">Base de datos SUI: Energía/Técnico-operativo/Compra de Combustible y Aspectos de Generación</w:t>
            </w:r>
          </w:p>
        </w:tc>
        <w:tc>
          <w:tcPr/>
          <w:p w:rsidR="00000000" w:rsidDel="00000000" w:rsidP="00000000" w:rsidRDefault="00000000" w:rsidRPr="00000000" w14:paraId="000003AB">
            <w:pPr>
              <w:rPr>
                <w:rFonts w:ascii="Arial" w:cs="Arial" w:eastAsia="Arial" w:hAnsi="Arial"/>
                <w:sz w:val="20"/>
                <w:szCs w:val="20"/>
              </w:rPr>
            </w:pPr>
            <w:r w:rsidDel="00000000" w:rsidR="00000000" w:rsidRPr="00000000">
              <w:rPr>
                <w:rFonts w:ascii="Arial" w:cs="Arial" w:eastAsia="Arial" w:hAnsi="Arial"/>
                <w:sz w:val="20"/>
                <w:szCs w:val="20"/>
                <w:rtl w:val="0"/>
              </w:rPr>
              <w:t xml:space="preserve">1A1a Actividad principal producción de electricidad y calor</w:t>
            </w:r>
          </w:p>
        </w:tc>
      </w:tr>
      <w:tr>
        <w:trPr>
          <w:cantSplit w:val="0"/>
          <w:trHeight w:val="389" w:hRule="atLeast"/>
          <w:tblHeader w:val="0"/>
        </w:trPr>
        <w:tc>
          <w:tcPr>
            <w:vMerge w:val="restart"/>
          </w:tcPr>
          <w:p w:rsidR="00000000" w:rsidDel="00000000" w:rsidP="00000000" w:rsidRDefault="00000000" w:rsidRPr="00000000" w14:paraId="000003AC">
            <w:pPr>
              <w:rPr>
                <w:rFonts w:ascii="Arial" w:cs="Arial" w:eastAsia="Arial" w:hAnsi="Arial"/>
                <w:sz w:val="20"/>
                <w:szCs w:val="20"/>
              </w:rPr>
            </w:pPr>
            <w:r w:rsidDel="00000000" w:rsidR="00000000" w:rsidRPr="00000000">
              <w:rPr>
                <w:rFonts w:ascii="Arial" w:cs="Arial" w:eastAsia="Arial" w:hAnsi="Arial"/>
                <w:sz w:val="20"/>
                <w:szCs w:val="20"/>
                <w:rtl w:val="0"/>
              </w:rPr>
              <w:t xml:space="preserve">IDEAM</w:t>
            </w:r>
          </w:p>
        </w:tc>
        <w:tc>
          <w:tcPr/>
          <w:p w:rsidR="00000000" w:rsidDel="00000000" w:rsidP="00000000" w:rsidRDefault="00000000" w:rsidRPr="00000000" w14:paraId="000003AD">
            <w:pPr>
              <w:rPr>
                <w:rFonts w:ascii="Arial" w:cs="Arial" w:eastAsia="Arial" w:hAnsi="Arial"/>
                <w:sz w:val="20"/>
                <w:szCs w:val="20"/>
              </w:rPr>
            </w:pPr>
            <w:r w:rsidDel="00000000" w:rsidR="00000000" w:rsidRPr="00000000">
              <w:rPr>
                <w:rFonts w:ascii="Arial" w:cs="Arial" w:eastAsia="Arial" w:hAnsi="Arial"/>
                <w:sz w:val="20"/>
                <w:szCs w:val="20"/>
                <w:rtl w:val="0"/>
              </w:rPr>
              <w:t xml:space="preserve">Registro de generadores de residuos peligrosos</w:t>
            </w:r>
          </w:p>
        </w:tc>
        <w:tc>
          <w:tcPr/>
          <w:p w:rsidR="00000000" w:rsidDel="00000000" w:rsidP="00000000" w:rsidRDefault="00000000" w:rsidRPr="00000000" w14:paraId="000003AE">
            <w:pPr>
              <w:rPr>
                <w:rFonts w:ascii="Arial" w:cs="Arial" w:eastAsia="Arial" w:hAnsi="Arial"/>
                <w:sz w:val="20"/>
                <w:szCs w:val="20"/>
              </w:rPr>
            </w:pPr>
            <w:r w:rsidDel="00000000" w:rsidR="00000000" w:rsidRPr="00000000">
              <w:rPr>
                <w:rFonts w:ascii="Arial" w:cs="Arial" w:eastAsia="Arial" w:hAnsi="Arial"/>
                <w:sz w:val="20"/>
                <w:szCs w:val="20"/>
                <w:rtl w:val="0"/>
              </w:rPr>
              <w:t xml:space="preserve">4C1 Incineración de desechos</w:t>
            </w:r>
          </w:p>
        </w:tc>
      </w:tr>
      <w:tr>
        <w:trPr>
          <w:cantSplit w:val="0"/>
          <w:trHeight w:val="500" w:hRule="atLeast"/>
          <w:tblHeader w:val="0"/>
        </w:trPr>
        <w:tc>
          <w:tcPr>
            <w:vMerge w:val="continue"/>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0">
            <w:pPr>
              <w:rPr>
                <w:rFonts w:ascii="Arial" w:cs="Arial" w:eastAsia="Arial" w:hAnsi="Arial"/>
                <w:sz w:val="20"/>
                <w:szCs w:val="20"/>
              </w:rPr>
            </w:pPr>
            <w:r w:rsidDel="00000000" w:rsidR="00000000" w:rsidRPr="00000000">
              <w:rPr>
                <w:rFonts w:ascii="Arial" w:cs="Arial" w:eastAsia="Arial" w:hAnsi="Arial"/>
                <w:sz w:val="20"/>
                <w:szCs w:val="20"/>
                <w:rtl w:val="0"/>
              </w:rPr>
              <w:t xml:space="preserve">Base de datos histórica (climatología) de todas las estaciones del país</w:t>
            </w:r>
          </w:p>
        </w:tc>
        <w:tc>
          <w:tcPr/>
          <w:p w:rsidR="00000000" w:rsidDel="00000000" w:rsidP="00000000" w:rsidRDefault="00000000" w:rsidRPr="00000000" w14:paraId="000003B1">
            <w:pPr>
              <w:rPr>
                <w:rFonts w:ascii="Arial" w:cs="Arial" w:eastAsia="Arial" w:hAnsi="Arial"/>
                <w:sz w:val="20"/>
                <w:szCs w:val="20"/>
              </w:rPr>
            </w:pPr>
            <w:r w:rsidDel="00000000" w:rsidR="00000000" w:rsidRPr="00000000">
              <w:rPr>
                <w:rFonts w:ascii="Arial" w:cs="Arial" w:eastAsia="Arial" w:hAnsi="Arial"/>
                <w:sz w:val="20"/>
                <w:szCs w:val="20"/>
                <w:rtl w:val="0"/>
              </w:rPr>
              <w:t xml:space="preserve">1A3bv Emisiones por evaporación procedentes de vehículos*</w:t>
            </w:r>
          </w:p>
          <w:p w:rsidR="00000000" w:rsidDel="00000000" w:rsidP="00000000" w:rsidRDefault="00000000" w:rsidRPr="00000000" w14:paraId="000003B2">
            <w:pPr>
              <w:rPr>
                <w:rFonts w:ascii="Arial" w:cs="Arial" w:eastAsia="Arial" w:hAnsi="Arial"/>
                <w:sz w:val="19"/>
                <w:szCs w:val="19"/>
              </w:rPr>
            </w:pPr>
            <w:r w:rsidDel="00000000" w:rsidR="00000000" w:rsidRPr="00000000">
              <w:rPr>
                <w:rFonts w:ascii="Arial" w:cs="Arial" w:eastAsia="Arial" w:hAnsi="Arial"/>
                <w:sz w:val="19"/>
                <w:szCs w:val="19"/>
                <w:rtl w:val="0"/>
              </w:rPr>
              <w:t xml:space="preserve">2A5b Construcción y demolición*</w:t>
            </w:r>
          </w:p>
          <w:p w:rsidR="00000000" w:rsidDel="00000000" w:rsidP="00000000" w:rsidRDefault="00000000" w:rsidRPr="00000000" w14:paraId="000003B3">
            <w:pPr>
              <w:rPr>
                <w:rFonts w:ascii="Arial" w:cs="Arial" w:eastAsia="Arial" w:hAnsi="Arial"/>
                <w:sz w:val="20"/>
                <w:szCs w:val="20"/>
              </w:rPr>
            </w:pPr>
            <w:r w:rsidDel="00000000" w:rsidR="00000000" w:rsidRPr="00000000">
              <w:rPr>
                <w:rFonts w:ascii="Arial" w:cs="Arial" w:eastAsia="Arial" w:hAnsi="Arial"/>
                <w:sz w:val="19"/>
                <w:szCs w:val="19"/>
                <w:rtl w:val="0"/>
              </w:rPr>
              <w:t xml:space="preserve">2A5b Construcción y demolición*</w:t>
            </w:r>
            <w:r w:rsidDel="00000000" w:rsidR="00000000" w:rsidRPr="00000000">
              <w:rPr>
                <w:rtl w:val="0"/>
              </w:rPr>
            </w:r>
          </w:p>
        </w:tc>
      </w:tr>
      <w:tr>
        <w:trPr>
          <w:cantSplit w:val="0"/>
          <w:trHeight w:val="271" w:hRule="atLeast"/>
          <w:tblHeader w:val="0"/>
        </w:trPr>
        <w:tc>
          <w:tcPr/>
          <w:p w:rsidR="00000000" w:rsidDel="00000000" w:rsidP="00000000" w:rsidRDefault="00000000" w:rsidRPr="00000000" w14:paraId="000003B4">
            <w:pPr>
              <w:rPr>
                <w:rFonts w:ascii="Arial" w:cs="Arial" w:eastAsia="Arial" w:hAnsi="Arial"/>
                <w:sz w:val="20"/>
                <w:szCs w:val="20"/>
              </w:rPr>
            </w:pPr>
            <w:r w:rsidDel="00000000" w:rsidR="00000000" w:rsidRPr="00000000">
              <w:rPr>
                <w:rFonts w:ascii="Arial" w:cs="Arial" w:eastAsia="Arial" w:hAnsi="Arial"/>
                <w:sz w:val="20"/>
                <w:szCs w:val="20"/>
                <w:rtl w:val="0"/>
              </w:rPr>
              <w:t xml:space="preserve">LegisComex</w:t>
            </w:r>
          </w:p>
          <w:p w:rsidR="00000000" w:rsidDel="00000000" w:rsidP="00000000" w:rsidRDefault="00000000" w:rsidRPr="00000000" w14:paraId="000003B5">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B6">
            <w:pPr>
              <w:rPr>
                <w:rFonts w:ascii="Arial" w:cs="Arial" w:eastAsia="Arial" w:hAnsi="Arial"/>
                <w:sz w:val="20"/>
                <w:szCs w:val="20"/>
              </w:rPr>
            </w:pPr>
            <w:r w:rsidDel="00000000" w:rsidR="00000000" w:rsidRPr="00000000">
              <w:rPr>
                <w:rFonts w:ascii="Arial" w:cs="Arial" w:eastAsia="Arial" w:hAnsi="Arial"/>
                <w:sz w:val="20"/>
                <w:szCs w:val="20"/>
                <w:rtl w:val="0"/>
              </w:rPr>
              <w:t xml:space="preserve">Sistema de inteligencia comercial - LegisComex</w:t>
            </w:r>
          </w:p>
        </w:tc>
        <w:tc>
          <w:tcPr/>
          <w:p w:rsidR="00000000" w:rsidDel="00000000" w:rsidP="00000000" w:rsidRDefault="00000000" w:rsidRPr="00000000" w14:paraId="000003B7">
            <w:pPr>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y piscifactorías (Móvil)</w:t>
            </w:r>
          </w:p>
          <w:p w:rsidR="00000000" w:rsidDel="00000000" w:rsidP="00000000" w:rsidRDefault="00000000" w:rsidRPr="00000000" w14:paraId="000003B8">
            <w:pPr>
              <w:rPr>
                <w:rFonts w:ascii="Arial" w:cs="Arial" w:eastAsia="Arial" w:hAnsi="Arial"/>
                <w:sz w:val="20"/>
                <w:szCs w:val="20"/>
              </w:rPr>
            </w:pPr>
            <w:r w:rsidDel="00000000" w:rsidR="00000000" w:rsidRPr="00000000">
              <w:rPr>
                <w:rFonts w:ascii="Arial" w:cs="Arial" w:eastAsia="Arial" w:hAnsi="Arial"/>
                <w:sz w:val="20"/>
                <w:szCs w:val="20"/>
                <w:rtl w:val="0"/>
              </w:rPr>
              <w:t xml:space="preserve">1A3eii Todo terreno</w:t>
            </w:r>
          </w:p>
        </w:tc>
      </w:tr>
      <w:tr>
        <w:trPr>
          <w:cantSplit w:val="0"/>
          <w:trHeight w:val="50" w:hRule="atLeast"/>
          <w:tblHeader w:val="0"/>
        </w:trPr>
        <w:tc>
          <w:tcPr/>
          <w:p w:rsidR="00000000" w:rsidDel="00000000" w:rsidP="00000000" w:rsidRDefault="00000000" w:rsidRPr="00000000" w14:paraId="000003B9">
            <w:pPr>
              <w:rPr>
                <w:rFonts w:ascii="Arial" w:cs="Arial" w:eastAsia="Arial" w:hAnsi="Arial"/>
                <w:sz w:val="20"/>
                <w:szCs w:val="20"/>
              </w:rPr>
            </w:pPr>
            <w:r w:rsidDel="00000000" w:rsidR="00000000" w:rsidRPr="00000000">
              <w:rPr>
                <w:rFonts w:ascii="Arial" w:cs="Arial" w:eastAsia="Arial" w:hAnsi="Arial"/>
                <w:sz w:val="20"/>
                <w:szCs w:val="20"/>
                <w:rtl w:val="0"/>
              </w:rPr>
              <w:t xml:space="preserve">MDL - PTAR</w:t>
            </w:r>
          </w:p>
        </w:tc>
        <w:tc>
          <w:tcPr/>
          <w:p w:rsidR="00000000" w:rsidDel="00000000" w:rsidP="00000000" w:rsidRDefault="00000000" w:rsidRPr="00000000" w14:paraId="000003BA">
            <w:pPr>
              <w:rPr>
                <w:rFonts w:ascii="Arial" w:cs="Arial" w:eastAsia="Arial" w:hAnsi="Arial"/>
                <w:sz w:val="20"/>
                <w:szCs w:val="20"/>
              </w:rPr>
            </w:pPr>
            <w:r w:rsidDel="00000000" w:rsidR="00000000" w:rsidRPr="00000000">
              <w:rPr>
                <w:rFonts w:ascii="Arial" w:cs="Arial" w:eastAsia="Arial" w:hAnsi="Arial"/>
                <w:sz w:val="20"/>
                <w:szCs w:val="20"/>
                <w:rtl w:val="0"/>
              </w:rPr>
              <w:t xml:space="preserve">MDL</w:t>
            </w:r>
          </w:p>
        </w:tc>
        <w:tc>
          <w:tcPr/>
          <w:p w:rsidR="00000000" w:rsidDel="00000000" w:rsidP="00000000" w:rsidRDefault="00000000" w:rsidRPr="00000000" w14:paraId="000003BB">
            <w:pPr>
              <w:rPr>
                <w:rFonts w:ascii="Arial" w:cs="Arial" w:eastAsia="Arial" w:hAnsi="Arial"/>
                <w:sz w:val="20"/>
                <w:szCs w:val="20"/>
              </w:rPr>
            </w:pPr>
            <w:r w:rsidDel="00000000" w:rsidR="00000000" w:rsidRPr="00000000">
              <w:rPr>
                <w:rFonts w:ascii="Arial" w:cs="Arial" w:eastAsia="Arial" w:hAnsi="Arial"/>
                <w:sz w:val="20"/>
                <w:szCs w:val="20"/>
                <w:rtl w:val="0"/>
              </w:rPr>
              <w:t xml:space="preserve">1A4a Comercial-Institucional</w:t>
            </w:r>
          </w:p>
        </w:tc>
      </w:tr>
      <w:tr>
        <w:trPr>
          <w:cantSplit w:val="0"/>
          <w:trHeight w:val="171" w:hRule="atLeast"/>
          <w:tblHeader w:val="0"/>
        </w:trPr>
        <w:tc>
          <w:tcPr>
            <w:vMerge w:val="restart"/>
          </w:tcPr>
          <w:p w:rsidR="00000000" w:rsidDel="00000000" w:rsidP="00000000" w:rsidRDefault="00000000" w:rsidRPr="00000000" w14:paraId="000003BC">
            <w:pPr>
              <w:rPr>
                <w:rFonts w:ascii="Arial" w:cs="Arial" w:eastAsia="Arial" w:hAnsi="Arial"/>
                <w:sz w:val="20"/>
                <w:szCs w:val="20"/>
              </w:rPr>
            </w:pPr>
            <w:r w:rsidDel="00000000" w:rsidR="00000000" w:rsidRPr="00000000">
              <w:rPr>
                <w:rFonts w:ascii="Arial" w:cs="Arial" w:eastAsia="Arial" w:hAnsi="Arial"/>
                <w:sz w:val="20"/>
                <w:szCs w:val="20"/>
                <w:rtl w:val="0"/>
              </w:rPr>
              <w:t xml:space="preserve">Ministerio de Transporte</w:t>
            </w:r>
          </w:p>
        </w:tc>
        <w:tc>
          <w:tcPr/>
          <w:p w:rsidR="00000000" w:rsidDel="00000000" w:rsidP="00000000" w:rsidRDefault="00000000" w:rsidRPr="00000000" w14:paraId="000003BD">
            <w:pPr>
              <w:rPr>
                <w:rFonts w:ascii="Arial" w:cs="Arial" w:eastAsia="Arial" w:hAnsi="Arial"/>
                <w:sz w:val="20"/>
                <w:szCs w:val="20"/>
              </w:rPr>
            </w:pPr>
            <w:r w:rsidDel="00000000" w:rsidR="00000000" w:rsidRPr="00000000">
              <w:rPr>
                <w:rFonts w:ascii="Arial" w:cs="Arial" w:eastAsia="Arial" w:hAnsi="Arial"/>
                <w:sz w:val="20"/>
                <w:szCs w:val="20"/>
                <w:rtl w:val="0"/>
              </w:rPr>
              <w:t xml:space="preserve">RNMA</w:t>
            </w:r>
          </w:p>
        </w:tc>
        <w:tc>
          <w:tcPr/>
          <w:p w:rsidR="00000000" w:rsidDel="00000000" w:rsidP="00000000" w:rsidRDefault="00000000" w:rsidRPr="00000000" w14:paraId="000003BE">
            <w:pPr>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y piscifactorías (Móvil)</w:t>
            </w:r>
          </w:p>
          <w:p w:rsidR="00000000" w:rsidDel="00000000" w:rsidP="00000000" w:rsidRDefault="00000000" w:rsidRPr="00000000" w14:paraId="000003BF">
            <w:pPr>
              <w:rPr>
                <w:rFonts w:ascii="Arial" w:cs="Arial" w:eastAsia="Arial" w:hAnsi="Arial"/>
                <w:sz w:val="20"/>
                <w:szCs w:val="20"/>
              </w:rPr>
            </w:pPr>
            <w:r w:rsidDel="00000000" w:rsidR="00000000" w:rsidRPr="00000000">
              <w:rPr>
                <w:rFonts w:ascii="Arial" w:cs="Arial" w:eastAsia="Arial" w:hAnsi="Arial"/>
                <w:sz w:val="20"/>
                <w:szCs w:val="20"/>
                <w:rtl w:val="0"/>
              </w:rPr>
              <w:t xml:space="preserve">1A3eii Todo terreno</w:t>
            </w:r>
          </w:p>
        </w:tc>
      </w:tr>
      <w:tr>
        <w:trPr>
          <w:cantSplit w:val="0"/>
          <w:trHeight w:val="309" w:hRule="atLeast"/>
          <w:tblHeader w:val="0"/>
        </w:trPr>
        <w:tc>
          <w:tcPr>
            <w:vMerge w:val="continue"/>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1">
            <w:pPr>
              <w:rPr>
                <w:rFonts w:ascii="Arial" w:cs="Arial" w:eastAsia="Arial" w:hAnsi="Arial"/>
                <w:sz w:val="20"/>
                <w:szCs w:val="20"/>
              </w:rPr>
            </w:pPr>
            <w:r w:rsidDel="00000000" w:rsidR="00000000" w:rsidRPr="00000000">
              <w:rPr>
                <w:rFonts w:ascii="Arial" w:cs="Arial" w:eastAsia="Arial" w:hAnsi="Arial"/>
                <w:sz w:val="20"/>
                <w:szCs w:val="20"/>
                <w:rtl w:val="0"/>
              </w:rPr>
              <w:t xml:space="preserve">RUNT</w:t>
            </w:r>
          </w:p>
        </w:tc>
        <w:tc>
          <w:tcPr/>
          <w:p w:rsidR="00000000" w:rsidDel="00000000" w:rsidP="00000000" w:rsidRDefault="00000000" w:rsidRPr="00000000" w14:paraId="000003C2">
            <w:pPr>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y piscifactorías (Móvil)</w:t>
            </w:r>
          </w:p>
          <w:p w:rsidR="00000000" w:rsidDel="00000000" w:rsidP="00000000" w:rsidRDefault="00000000" w:rsidRPr="00000000" w14:paraId="000003C3">
            <w:pPr>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rHeight w:val="290" w:hRule="atLeast"/>
          <w:tblHeader w:val="0"/>
        </w:trPr>
        <w:tc>
          <w:tcPr>
            <w:vMerge w:val="continue"/>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5">
            <w:pPr>
              <w:rPr>
                <w:rFonts w:ascii="Arial" w:cs="Arial" w:eastAsia="Arial" w:hAnsi="Arial"/>
                <w:sz w:val="20"/>
                <w:szCs w:val="20"/>
              </w:rPr>
            </w:pPr>
            <w:r w:rsidDel="00000000" w:rsidR="00000000" w:rsidRPr="00000000">
              <w:rPr>
                <w:rFonts w:ascii="Arial" w:cs="Arial" w:eastAsia="Arial" w:hAnsi="Arial"/>
                <w:sz w:val="20"/>
                <w:szCs w:val="20"/>
                <w:rtl w:val="0"/>
              </w:rPr>
              <w:t xml:space="preserve">Transporte en cifras</w:t>
            </w:r>
          </w:p>
        </w:tc>
        <w:tc>
          <w:tcPr/>
          <w:p w:rsidR="00000000" w:rsidDel="00000000" w:rsidP="00000000" w:rsidRDefault="00000000" w:rsidRPr="00000000" w14:paraId="000003C6">
            <w:pPr>
              <w:rPr>
                <w:rFonts w:ascii="Arial" w:cs="Arial" w:eastAsia="Arial" w:hAnsi="Arial"/>
                <w:sz w:val="20"/>
                <w:szCs w:val="20"/>
              </w:rPr>
            </w:pPr>
            <w:r w:rsidDel="00000000" w:rsidR="00000000" w:rsidRPr="00000000">
              <w:rPr>
                <w:rFonts w:ascii="Arial" w:cs="Arial" w:eastAsia="Arial" w:hAnsi="Arial"/>
                <w:sz w:val="20"/>
                <w:szCs w:val="20"/>
                <w:rtl w:val="0"/>
              </w:rPr>
              <w:t xml:space="preserve">1A3c Ferrocarriles</w:t>
            </w:r>
          </w:p>
          <w:p w:rsidR="00000000" w:rsidDel="00000000" w:rsidP="00000000" w:rsidRDefault="00000000" w:rsidRPr="00000000" w14:paraId="000003C7">
            <w:pPr>
              <w:rPr>
                <w:rFonts w:ascii="Arial" w:cs="Arial" w:eastAsia="Arial" w:hAnsi="Arial"/>
                <w:sz w:val="19"/>
                <w:szCs w:val="19"/>
              </w:rPr>
            </w:pPr>
            <w:r w:rsidDel="00000000" w:rsidR="00000000" w:rsidRPr="00000000">
              <w:rPr>
                <w:rFonts w:ascii="Arial" w:cs="Arial" w:eastAsia="Arial" w:hAnsi="Arial"/>
                <w:sz w:val="19"/>
                <w:szCs w:val="19"/>
                <w:rtl w:val="0"/>
              </w:rPr>
              <w:t xml:space="preserve">2A5b Construcción y demolición*</w:t>
            </w:r>
          </w:p>
        </w:tc>
      </w:tr>
      <w:tr>
        <w:trPr>
          <w:cantSplit w:val="0"/>
          <w:trHeight w:val="290" w:hRule="atLeast"/>
          <w:tblHeader w:val="0"/>
        </w:trPr>
        <w:tc>
          <w:tcPr>
            <w:vMerge w:val="restart"/>
          </w:tcPr>
          <w:p w:rsidR="00000000" w:rsidDel="00000000" w:rsidP="00000000" w:rsidRDefault="00000000" w:rsidRPr="00000000" w14:paraId="000003C8">
            <w:pPr>
              <w:rPr>
                <w:rFonts w:ascii="Arial" w:cs="Arial" w:eastAsia="Arial" w:hAnsi="Arial"/>
                <w:sz w:val="20"/>
                <w:szCs w:val="20"/>
              </w:rPr>
            </w:pPr>
            <w:r w:rsidDel="00000000" w:rsidR="00000000" w:rsidRPr="00000000">
              <w:rPr>
                <w:rFonts w:ascii="Arial" w:cs="Arial" w:eastAsia="Arial" w:hAnsi="Arial"/>
                <w:sz w:val="20"/>
                <w:szCs w:val="20"/>
                <w:rtl w:val="0"/>
              </w:rPr>
              <w:t xml:space="preserve">Ministerio de Ambiente y Desarrollo Sostenible</w:t>
            </w:r>
          </w:p>
        </w:tc>
        <w:tc>
          <w:tcPr/>
          <w:p w:rsidR="00000000" w:rsidDel="00000000" w:rsidP="00000000" w:rsidRDefault="00000000" w:rsidRPr="00000000" w14:paraId="000003C9">
            <w:pPr>
              <w:rPr>
                <w:rFonts w:ascii="Arial" w:cs="Arial" w:eastAsia="Arial" w:hAnsi="Arial"/>
                <w:sz w:val="20"/>
                <w:szCs w:val="20"/>
              </w:rPr>
            </w:pPr>
            <w:r w:rsidDel="00000000" w:rsidR="00000000" w:rsidRPr="00000000">
              <w:rPr>
                <w:rFonts w:ascii="Arial" w:cs="Arial" w:eastAsia="Arial" w:hAnsi="Arial"/>
                <w:sz w:val="20"/>
                <w:szCs w:val="20"/>
                <w:rtl w:val="0"/>
              </w:rPr>
              <w:t xml:space="preserve">NDC</w:t>
            </w:r>
          </w:p>
        </w:tc>
        <w:tc>
          <w:tcPr/>
          <w:p w:rsidR="00000000" w:rsidDel="00000000" w:rsidP="00000000" w:rsidRDefault="00000000" w:rsidRPr="00000000" w14:paraId="000003CA">
            <w:pPr>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rHeight w:val="290" w:hRule="atLeast"/>
          <w:tblHeader w:val="0"/>
        </w:trPr>
        <w:tc>
          <w:tcPr>
            <w:vMerge w:val="continue"/>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CC">
            <w:pPr>
              <w:rPr>
                <w:rFonts w:ascii="Arial" w:cs="Arial" w:eastAsia="Arial" w:hAnsi="Arial"/>
                <w:sz w:val="20"/>
                <w:szCs w:val="20"/>
              </w:rPr>
            </w:pPr>
            <w:r w:rsidDel="00000000" w:rsidR="00000000" w:rsidRPr="00000000">
              <w:rPr>
                <w:rFonts w:ascii="Arial" w:cs="Arial" w:eastAsia="Arial" w:hAnsi="Arial"/>
                <w:sz w:val="20"/>
                <w:szCs w:val="20"/>
                <w:rtl w:val="0"/>
              </w:rPr>
              <w:t xml:space="preserve">Gestores de incineración de residuos peligrosos con licencia ambiental</w:t>
            </w:r>
          </w:p>
        </w:tc>
        <w:tc>
          <w:tcPr/>
          <w:p w:rsidR="00000000" w:rsidDel="00000000" w:rsidP="00000000" w:rsidRDefault="00000000" w:rsidRPr="00000000" w14:paraId="000003CD">
            <w:pPr>
              <w:rPr>
                <w:rFonts w:ascii="Arial" w:cs="Arial" w:eastAsia="Arial" w:hAnsi="Arial"/>
                <w:sz w:val="20"/>
                <w:szCs w:val="20"/>
              </w:rPr>
            </w:pPr>
            <w:r w:rsidDel="00000000" w:rsidR="00000000" w:rsidRPr="00000000">
              <w:rPr>
                <w:rFonts w:ascii="Arial" w:cs="Arial" w:eastAsia="Arial" w:hAnsi="Arial"/>
                <w:sz w:val="20"/>
                <w:szCs w:val="20"/>
                <w:rtl w:val="0"/>
              </w:rPr>
              <w:t xml:space="preserve">4C1 Incineración de desechos</w:t>
            </w:r>
          </w:p>
        </w:tc>
      </w:tr>
      <w:tr>
        <w:trPr>
          <w:cantSplit w:val="0"/>
          <w:trHeight w:val="290" w:hRule="atLeast"/>
          <w:tblHeader w:val="0"/>
        </w:trPr>
        <w:tc>
          <w:tcPr/>
          <w:p w:rsidR="00000000" w:rsidDel="00000000" w:rsidP="00000000" w:rsidRDefault="00000000" w:rsidRPr="00000000" w14:paraId="000003CE">
            <w:pPr>
              <w:rPr>
                <w:rFonts w:ascii="Arial" w:cs="Arial" w:eastAsia="Arial" w:hAnsi="Arial"/>
                <w:sz w:val="20"/>
                <w:szCs w:val="20"/>
              </w:rPr>
            </w:pPr>
            <w:r w:rsidDel="00000000" w:rsidR="00000000" w:rsidRPr="00000000">
              <w:rPr>
                <w:rFonts w:ascii="Arial" w:cs="Arial" w:eastAsia="Arial" w:hAnsi="Arial"/>
                <w:sz w:val="20"/>
                <w:szCs w:val="20"/>
                <w:rtl w:val="0"/>
              </w:rPr>
              <w:t xml:space="preserve">MME-HC y ANH</w:t>
            </w:r>
          </w:p>
        </w:tc>
        <w:tc>
          <w:tcPr/>
          <w:p w:rsidR="00000000" w:rsidDel="00000000" w:rsidP="00000000" w:rsidRDefault="00000000" w:rsidRPr="00000000" w14:paraId="000003CF">
            <w:pPr>
              <w:rPr>
                <w:rFonts w:ascii="Arial" w:cs="Arial" w:eastAsia="Arial" w:hAnsi="Arial"/>
                <w:sz w:val="20"/>
                <w:szCs w:val="20"/>
              </w:rPr>
            </w:pPr>
            <w:r w:rsidDel="00000000" w:rsidR="00000000" w:rsidRPr="00000000">
              <w:rPr>
                <w:rFonts w:ascii="Arial" w:cs="Arial" w:eastAsia="Arial" w:hAnsi="Arial"/>
                <w:sz w:val="20"/>
                <w:szCs w:val="20"/>
                <w:rtl w:val="0"/>
              </w:rPr>
              <w:t xml:space="preserve">Estadísticas recolectadas en campo</w:t>
            </w:r>
          </w:p>
        </w:tc>
        <w:tc>
          <w:tcPr/>
          <w:p w:rsidR="00000000" w:rsidDel="00000000" w:rsidP="00000000" w:rsidRDefault="00000000" w:rsidRPr="00000000" w14:paraId="000003D0">
            <w:pPr>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p w:rsidR="00000000" w:rsidDel="00000000" w:rsidP="00000000" w:rsidRDefault="00000000" w:rsidRPr="00000000" w14:paraId="000003D1">
            <w:pPr>
              <w:rPr>
                <w:rFonts w:ascii="Arial" w:cs="Arial" w:eastAsia="Arial" w:hAnsi="Arial"/>
                <w:sz w:val="20"/>
                <w:szCs w:val="20"/>
              </w:rPr>
            </w:pPr>
            <w:r w:rsidDel="00000000" w:rsidR="00000000" w:rsidRPr="00000000">
              <w:rPr>
                <w:rFonts w:ascii="Arial" w:cs="Arial" w:eastAsia="Arial" w:hAnsi="Arial"/>
                <w:sz w:val="20"/>
                <w:szCs w:val="20"/>
                <w:rtl w:val="0"/>
              </w:rPr>
              <w:t xml:space="preserve">1B2b Gas natural</w:t>
            </w:r>
          </w:p>
        </w:tc>
      </w:tr>
      <w:tr>
        <w:trPr>
          <w:cantSplit w:val="0"/>
          <w:trHeight w:val="290" w:hRule="atLeast"/>
          <w:tblHeader w:val="0"/>
        </w:trPr>
        <w:tc>
          <w:tcPr/>
          <w:p w:rsidR="00000000" w:rsidDel="00000000" w:rsidP="00000000" w:rsidRDefault="00000000" w:rsidRPr="00000000" w14:paraId="000003D2">
            <w:pPr>
              <w:rPr>
                <w:rFonts w:ascii="Arial" w:cs="Arial" w:eastAsia="Arial" w:hAnsi="Arial"/>
                <w:sz w:val="20"/>
                <w:szCs w:val="20"/>
              </w:rPr>
            </w:pPr>
            <w:r w:rsidDel="00000000" w:rsidR="00000000" w:rsidRPr="00000000">
              <w:rPr>
                <w:rFonts w:ascii="Arial" w:cs="Arial" w:eastAsia="Arial" w:hAnsi="Arial"/>
                <w:sz w:val="20"/>
                <w:szCs w:val="20"/>
                <w:rtl w:val="0"/>
              </w:rPr>
              <w:t xml:space="preserve">Naturgas</w:t>
            </w:r>
          </w:p>
        </w:tc>
        <w:tc>
          <w:tcPr/>
          <w:p w:rsidR="00000000" w:rsidDel="00000000" w:rsidP="00000000" w:rsidRDefault="00000000" w:rsidRPr="00000000" w14:paraId="000003D3">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tc>
        <w:tc>
          <w:tcPr/>
          <w:p w:rsidR="00000000" w:rsidDel="00000000" w:rsidP="00000000" w:rsidRDefault="00000000" w:rsidRPr="00000000" w14:paraId="000003D4">
            <w:pPr>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rHeight w:val="562" w:hRule="atLeast"/>
          <w:tblHeader w:val="0"/>
        </w:trPr>
        <w:tc>
          <w:tcPr/>
          <w:p w:rsidR="00000000" w:rsidDel="00000000" w:rsidP="00000000" w:rsidRDefault="00000000" w:rsidRPr="00000000" w14:paraId="000003D5">
            <w:pPr>
              <w:rPr>
                <w:rFonts w:ascii="Arial" w:cs="Arial" w:eastAsia="Arial" w:hAnsi="Arial"/>
                <w:sz w:val="20"/>
                <w:szCs w:val="20"/>
              </w:rPr>
            </w:pPr>
            <w:r w:rsidDel="00000000" w:rsidR="00000000" w:rsidRPr="00000000">
              <w:rPr>
                <w:rFonts w:ascii="Arial" w:cs="Arial" w:eastAsia="Arial" w:hAnsi="Arial"/>
                <w:sz w:val="20"/>
                <w:szCs w:val="20"/>
                <w:rtl w:val="0"/>
              </w:rPr>
              <w:t xml:space="preserve">PGIRS o MCB</w:t>
            </w:r>
          </w:p>
        </w:tc>
        <w:tc>
          <w:tcPr/>
          <w:p w:rsidR="00000000" w:rsidDel="00000000" w:rsidP="00000000" w:rsidRDefault="00000000" w:rsidRPr="00000000" w14:paraId="000003D6">
            <w:pPr>
              <w:rPr>
                <w:rFonts w:ascii="Arial" w:cs="Arial" w:eastAsia="Arial" w:hAnsi="Arial"/>
                <w:sz w:val="20"/>
                <w:szCs w:val="20"/>
              </w:rPr>
            </w:pPr>
            <w:r w:rsidDel="00000000" w:rsidR="00000000" w:rsidRPr="00000000">
              <w:rPr>
                <w:rFonts w:ascii="Arial" w:cs="Arial" w:eastAsia="Arial" w:hAnsi="Arial"/>
                <w:sz w:val="20"/>
                <w:szCs w:val="20"/>
                <w:rtl w:val="0"/>
              </w:rPr>
              <w:t xml:space="preserve">Caracterización de residuos</w:t>
            </w:r>
          </w:p>
        </w:tc>
        <w:tc>
          <w:tcPr/>
          <w:p w:rsidR="00000000" w:rsidDel="00000000" w:rsidP="00000000" w:rsidRDefault="00000000" w:rsidRPr="00000000" w14:paraId="000003D7">
            <w:pPr>
              <w:rPr>
                <w:rFonts w:ascii="Arial" w:cs="Arial" w:eastAsia="Arial" w:hAnsi="Arial"/>
                <w:sz w:val="20"/>
                <w:szCs w:val="20"/>
              </w:rPr>
            </w:pPr>
            <w:r w:rsidDel="00000000" w:rsidR="00000000" w:rsidRPr="00000000">
              <w:rPr>
                <w:rFonts w:ascii="Arial" w:cs="Arial" w:eastAsia="Arial" w:hAnsi="Arial"/>
                <w:sz w:val="20"/>
                <w:szCs w:val="20"/>
                <w:rtl w:val="0"/>
              </w:rPr>
              <w:t xml:space="preserve">4A - Eliminación de desechos sólidos 4C2 Incineración abierta de desechos</w:t>
            </w:r>
          </w:p>
        </w:tc>
      </w:tr>
      <w:tr>
        <w:trPr>
          <w:cantSplit w:val="0"/>
          <w:trHeight w:val="147" w:hRule="atLeast"/>
          <w:tblHeader w:val="0"/>
        </w:trPr>
        <w:tc>
          <w:tcPr>
            <w:vMerge w:val="restart"/>
          </w:tcPr>
          <w:p w:rsidR="00000000" w:rsidDel="00000000" w:rsidP="00000000" w:rsidRDefault="00000000" w:rsidRPr="00000000" w14:paraId="000003D8">
            <w:pPr>
              <w:rPr>
                <w:rFonts w:ascii="Arial" w:cs="Arial" w:eastAsia="Arial" w:hAnsi="Arial"/>
                <w:sz w:val="20"/>
                <w:szCs w:val="20"/>
              </w:rPr>
            </w:pPr>
            <w:r w:rsidDel="00000000" w:rsidR="00000000" w:rsidRPr="00000000">
              <w:rPr>
                <w:rFonts w:ascii="Arial" w:cs="Arial" w:eastAsia="Arial" w:hAnsi="Arial"/>
                <w:sz w:val="20"/>
                <w:szCs w:val="20"/>
                <w:rtl w:val="0"/>
              </w:rPr>
              <w:t xml:space="preserve">SSPD- SUI</w:t>
            </w:r>
          </w:p>
        </w:tc>
        <w:tc>
          <w:tcPr/>
          <w:p w:rsidR="00000000" w:rsidDel="00000000" w:rsidP="00000000" w:rsidRDefault="00000000" w:rsidRPr="00000000" w14:paraId="000003D9">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de sitios de disposición final</w:t>
            </w:r>
          </w:p>
        </w:tc>
        <w:tc>
          <w:tcPr/>
          <w:p w:rsidR="00000000" w:rsidDel="00000000" w:rsidP="00000000" w:rsidRDefault="00000000" w:rsidRPr="00000000" w14:paraId="000003DA">
            <w:pPr>
              <w:rPr>
                <w:rFonts w:ascii="Arial" w:cs="Arial" w:eastAsia="Arial" w:hAnsi="Arial"/>
                <w:sz w:val="20"/>
                <w:szCs w:val="20"/>
              </w:rPr>
            </w:pPr>
            <w:r w:rsidDel="00000000" w:rsidR="00000000" w:rsidRPr="00000000">
              <w:rPr>
                <w:rFonts w:ascii="Arial" w:cs="Arial" w:eastAsia="Arial" w:hAnsi="Arial"/>
                <w:sz w:val="20"/>
                <w:szCs w:val="20"/>
                <w:rtl w:val="0"/>
              </w:rPr>
              <w:t xml:space="preserve">4A - Eliminación de desechos sólidos</w:t>
            </w:r>
          </w:p>
        </w:tc>
      </w:tr>
      <w:tr>
        <w:trPr>
          <w:cantSplit w:val="0"/>
          <w:trHeight w:val="211" w:hRule="atLeast"/>
          <w:tblHeader w:val="0"/>
        </w:trPr>
        <w:tc>
          <w:tcPr>
            <w:vMerge w:val="continue"/>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C">
            <w:pPr>
              <w:rPr>
                <w:rFonts w:ascii="Arial" w:cs="Arial" w:eastAsia="Arial" w:hAnsi="Arial"/>
                <w:sz w:val="20"/>
                <w:szCs w:val="20"/>
              </w:rPr>
            </w:pPr>
            <w:r w:rsidDel="00000000" w:rsidR="00000000" w:rsidRPr="00000000">
              <w:rPr>
                <w:rFonts w:ascii="Arial" w:cs="Arial" w:eastAsia="Arial" w:hAnsi="Arial"/>
                <w:sz w:val="20"/>
                <w:szCs w:val="20"/>
                <w:rtl w:val="0"/>
              </w:rPr>
              <w:t xml:space="preserve">Residuos aprovechados</w:t>
            </w:r>
          </w:p>
        </w:tc>
        <w:tc>
          <w:tcPr/>
          <w:p w:rsidR="00000000" w:rsidDel="00000000" w:rsidP="00000000" w:rsidRDefault="00000000" w:rsidRPr="00000000" w14:paraId="000003DD">
            <w:pPr>
              <w:rPr>
                <w:rFonts w:ascii="Arial" w:cs="Arial" w:eastAsia="Arial" w:hAnsi="Arial"/>
                <w:sz w:val="20"/>
                <w:szCs w:val="20"/>
              </w:rPr>
            </w:pPr>
            <w:r w:rsidDel="00000000" w:rsidR="00000000" w:rsidRPr="00000000">
              <w:rPr>
                <w:rFonts w:ascii="Arial" w:cs="Arial" w:eastAsia="Arial" w:hAnsi="Arial"/>
                <w:sz w:val="20"/>
                <w:szCs w:val="20"/>
                <w:rtl w:val="0"/>
              </w:rPr>
              <w:t xml:space="preserve">4C2 Incineración abierta de desechos</w:t>
            </w:r>
          </w:p>
        </w:tc>
      </w:tr>
      <w:tr>
        <w:trPr>
          <w:cantSplit w:val="0"/>
          <w:trHeight w:val="261" w:hRule="atLeast"/>
          <w:tblHeader w:val="0"/>
        </w:trPr>
        <w:tc>
          <w:tcPr>
            <w:vMerge w:val="continue"/>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DF">
            <w:pPr>
              <w:rPr>
                <w:rFonts w:ascii="Arial" w:cs="Arial" w:eastAsia="Arial" w:hAnsi="Arial"/>
                <w:sz w:val="20"/>
                <w:szCs w:val="20"/>
              </w:rPr>
            </w:pPr>
            <w:r w:rsidDel="00000000" w:rsidR="00000000" w:rsidRPr="00000000">
              <w:rPr>
                <w:rFonts w:ascii="Arial" w:cs="Arial" w:eastAsia="Arial" w:hAnsi="Arial"/>
                <w:sz w:val="20"/>
                <w:szCs w:val="20"/>
                <w:rtl w:val="0"/>
              </w:rPr>
              <w:t xml:space="preserve">Sistemas de tratamiento de aguas residuales -STAR</w:t>
            </w:r>
          </w:p>
        </w:tc>
        <w:tc>
          <w:tcPr/>
          <w:p w:rsidR="00000000" w:rsidDel="00000000" w:rsidP="00000000" w:rsidRDefault="00000000" w:rsidRPr="00000000" w14:paraId="000003E0">
            <w:pPr>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r>
      <w:tr>
        <w:trPr>
          <w:cantSplit w:val="0"/>
          <w:trHeight w:val="500" w:hRule="atLeast"/>
          <w:tblHeader w:val="0"/>
        </w:trPr>
        <w:tc>
          <w:tcPr/>
          <w:p w:rsidR="00000000" w:rsidDel="00000000" w:rsidP="00000000" w:rsidRDefault="00000000" w:rsidRPr="00000000" w14:paraId="000003E1">
            <w:pPr>
              <w:rPr>
                <w:rFonts w:ascii="Arial" w:cs="Arial" w:eastAsia="Arial" w:hAnsi="Arial"/>
                <w:sz w:val="20"/>
                <w:szCs w:val="20"/>
              </w:rPr>
            </w:pPr>
            <w:r w:rsidDel="00000000" w:rsidR="00000000" w:rsidRPr="00000000">
              <w:rPr>
                <w:rFonts w:ascii="Arial" w:cs="Arial" w:eastAsia="Arial" w:hAnsi="Arial"/>
                <w:sz w:val="20"/>
                <w:szCs w:val="20"/>
                <w:rtl w:val="0"/>
              </w:rPr>
              <w:t xml:space="preserve">SSPD- Minvivienda</w:t>
            </w:r>
          </w:p>
        </w:tc>
        <w:tc>
          <w:tcPr/>
          <w:p w:rsidR="00000000" w:rsidDel="00000000" w:rsidP="00000000" w:rsidRDefault="00000000" w:rsidRPr="00000000" w14:paraId="000003E2">
            <w:pPr>
              <w:rPr>
                <w:rFonts w:ascii="Arial" w:cs="Arial" w:eastAsia="Arial" w:hAnsi="Arial"/>
                <w:sz w:val="20"/>
                <w:szCs w:val="20"/>
              </w:rPr>
            </w:pPr>
            <w:r w:rsidDel="00000000" w:rsidR="00000000" w:rsidRPr="00000000">
              <w:rPr>
                <w:rFonts w:ascii="Arial" w:cs="Arial" w:eastAsia="Arial" w:hAnsi="Arial"/>
                <w:sz w:val="20"/>
                <w:szCs w:val="20"/>
                <w:rtl w:val="0"/>
              </w:rPr>
              <w:t xml:space="preserve">Información de aprovechamiento biológico de residuos</w:t>
            </w:r>
          </w:p>
        </w:tc>
        <w:tc>
          <w:tcPr/>
          <w:p w:rsidR="00000000" w:rsidDel="00000000" w:rsidP="00000000" w:rsidRDefault="00000000" w:rsidRPr="00000000" w14:paraId="000003E3">
            <w:pPr>
              <w:rPr>
                <w:rFonts w:ascii="Arial" w:cs="Arial" w:eastAsia="Arial" w:hAnsi="Arial"/>
                <w:sz w:val="20"/>
                <w:szCs w:val="20"/>
              </w:rPr>
            </w:pPr>
            <w:r w:rsidDel="00000000" w:rsidR="00000000" w:rsidRPr="00000000">
              <w:rPr>
                <w:rFonts w:ascii="Arial" w:cs="Arial" w:eastAsia="Arial" w:hAnsi="Arial"/>
                <w:sz w:val="20"/>
                <w:szCs w:val="20"/>
                <w:rtl w:val="0"/>
              </w:rPr>
              <w:t xml:space="preserve">4B - Tratamiento biológico de los desechos sólidos</w:t>
            </w:r>
          </w:p>
        </w:tc>
      </w:tr>
      <w:tr>
        <w:trPr>
          <w:cantSplit w:val="0"/>
          <w:trHeight w:val="432" w:hRule="atLeast"/>
          <w:tblHeader w:val="0"/>
        </w:trPr>
        <w:tc>
          <w:tcPr>
            <w:vMerge w:val="restart"/>
          </w:tcPr>
          <w:p w:rsidR="00000000" w:rsidDel="00000000" w:rsidP="00000000" w:rsidRDefault="00000000" w:rsidRPr="00000000" w14:paraId="000003E4">
            <w:pPr>
              <w:rPr>
                <w:rFonts w:ascii="Arial" w:cs="Arial" w:eastAsia="Arial" w:hAnsi="Arial"/>
                <w:sz w:val="20"/>
                <w:szCs w:val="20"/>
              </w:rPr>
            </w:pPr>
            <w:r w:rsidDel="00000000" w:rsidR="00000000" w:rsidRPr="00000000">
              <w:rPr>
                <w:rFonts w:ascii="Arial" w:cs="Arial" w:eastAsia="Arial" w:hAnsi="Arial"/>
                <w:sz w:val="20"/>
                <w:szCs w:val="20"/>
                <w:rtl w:val="0"/>
              </w:rPr>
              <w:t xml:space="preserve">UPME</w:t>
            </w:r>
          </w:p>
        </w:tc>
        <w:tc>
          <w:tcPr/>
          <w:p w:rsidR="00000000" w:rsidDel="00000000" w:rsidP="00000000" w:rsidRDefault="00000000" w:rsidRPr="00000000" w14:paraId="000003E5">
            <w:pPr>
              <w:rPr>
                <w:rFonts w:ascii="Arial" w:cs="Arial" w:eastAsia="Arial" w:hAnsi="Arial"/>
                <w:sz w:val="20"/>
                <w:szCs w:val="20"/>
              </w:rPr>
            </w:pPr>
            <w:r w:rsidDel="00000000" w:rsidR="00000000" w:rsidRPr="00000000">
              <w:rPr>
                <w:rFonts w:ascii="Arial" w:cs="Arial" w:eastAsia="Arial" w:hAnsi="Arial"/>
                <w:sz w:val="20"/>
                <w:szCs w:val="20"/>
                <w:rtl w:val="0"/>
              </w:rPr>
              <w:t xml:space="preserve">BECO</w:t>
            </w:r>
          </w:p>
        </w:tc>
        <w:tc>
          <w:tcPr/>
          <w:p w:rsidR="00000000" w:rsidDel="00000000" w:rsidP="00000000" w:rsidRDefault="00000000" w:rsidRPr="00000000" w14:paraId="000003E6">
            <w:pPr>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de la energía</w:t>
            </w:r>
          </w:p>
          <w:p w:rsidR="00000000" w:rsidDel="00000000" w:rsidP="00000000" w:rsidRDefault="00000000" w:rsidRPr="00000000" w14:paraId="000003E7">
            <w:pPr>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de la energía</w:t>
            </w:r>
          </w:p>
          <w:p w:rsidR="00000000" w:rsidDel="00000000" w:rsidP="00000000" w:rsidRDefault="00000000" w:rsidRPr="00000000" w14:paraId="000003E8">
            <w:pPr>
              <w:rPr>
                <w:rFonts w:ascii="Arial" w:cs="Arial" w:eastAsia="Arial" w:hAnsi="Arial"/>
                <w:sz w:val="20"/>
                <w:szCs w:val="20"/>
              </w:rPr>
            </w:pPr>
            <w:r w:rsidDel="00000000" w:rsidR="00000000" w:rsidRPr="00000000">
              <w:rPr>
                <w:rFonts w:ascii="Arial" w:cs="Arial" w:eastAsia="Arial" w:hAnsi="Arial"/>
                <w:sz w:val="20"/>
                <w:szCs w:val="20"/>
                <w:rtl w:val="0"/>
              </w:rPr>
              <w:t xml:space="preserve">1A4a Comercial-Institucional</w:t>
            </w:r>
          </w:p>
          <w:p w:rsidR="00000000" w:rsidDel="00000000" w:rsidP="00000000" w:rsidRDefault="00000000" w:rsidRPr="00000000" w14:paraId="000003E9">
            <w:pPr>
              <w:rPr>
                <w:rFonts w:ascii="Arial" w:cs="Arial" w:eastAsia="Arial" w:hAnsi="Arial"/>
                <w:sz w:val="20"/>
                <w:szCs w:val="20"/>
              </w:rPr>
            </w:pPr>
            <w:r w:rsidDel="00000000" w:rsidR="00000000" w:rsidRPr="00000000">
              <w:rPr>
                <w:rFonts w:ascii="Arial" w:cs="Arial" w:eastAsia="Arial" w:hAnsi="Arial"/>
                <w:sz w:val="20"/>
                <w:szCs w:val="20"/>
                <w:rtl w:val="0"/>
              </w:rPr>
              <w:t xml:space="preserve">1A4b Residencial</w:t>
            </w:r>
          </w:p>
          <w:p w:rsidR="00000000" w:rsidDel="00000000" w:rsidP="00000000" w:rsidRDefault="00000000" w:rsidRPr="00000000" w14:paraId="000003EA">
            <w:pPr>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y piscifactorías (Estacionaria)</w:t>
            </w:r>
          </w:p>
          <w:p w:rsidR="00000000" w:rsidDel="00000000" w:rsidP="00000000" w:rsidRDefault="00000000" w:rsidRPr="00000000" w14:paraId="000003EB">
            <w:pPr>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p w:rsidR="00000000" w:rsidDel="00000000" w:rsidP="00000000" w:rsidRDefault="00000000" w:rsidRPr="00000000" w14:paraId="000003EC">
            <w:pPr>
              <w:rPr>
                <w:rFonts w:ascii="Arial" w:cs="Arial" w:eastAsia="Arial" w:hAnsi="Arial"/>
                <w:sz w:val="20"/>
                <w:szCs w:val="20"/>
              </w:rPr>
            </w:pPr>
            <w:r w:rsidDel="00000000" w:rsidR="00000000" w:rsidRPr="00000000">
              <w:rPr>
                <w:rFonts w:ascii="Arial" w:cs="Arial" w:eastAsia="Arial" w:hAnsi="Arial"/>
                <w:sz w:val="20"/>
                <w:szCs w:val="20"/>
                <w:rtl w:val="0"/>
              </w:rPr>
              <w:t xml:space="preserve">1A2a - Hierro y acero</w:t>
            </w:r>
          </w:p>
          <w:p w:rsidR="00000000" w:rsidDel="00000000" w:rsidP="00000000" w:rsidRDefault="00000000" w:rsidRPr="00000000" w14:paraId="000003ED">
            <w:pPr>
              <w:rPr>
                <w:rFonts w:ascii="Arial" w:cs="Arial" w:eastAsia="Arial" w:hAnsi="Arial"/>
                <w:sz w:val="20"/>
                <w:szCs w:val="20"/>
              </w:rPr>
            </w:pPr>
            <w:r w:rsidDel="00000000" w:rsidR="00000000" w:rsidRPr="00000000">
              <w:rPr>
                <w:rFonts w:ascii="Arial" w:cs="Arial" w:eastAsia="Arial" w:hAnsi="Arial"/>
                <w:sz w:val="20"/>
                <w:szCs w:val="20"/>
                <w:rtl w:val="0"/>
              </w:rPr>
              <w:t xml:space="preserve">1A2c - Productos químicos</w:t>
            </w:r>
          </w:p>
          <w:p w:rsidR="00000000" w:rsidDel="00000000" w:rsidP="00000000" w:rsidRDefault="00000000" w:rsidRPr="00000000" w14:paraId="000003EE">
            <w:pPr>
              <w:rPr>
                <w:rFonts w:ascii="Arial" w:cs="Arial" w:eastAsia="Arial" w:hAnsi="Arial"/>
                <w:sz w:val="20"/>
                <w:szCs w:val="20"/>
              </w:rPr>
            </w:pPr>
            <w:r w:rsidDel="00000000" w:rsidR="00000000" w:rsidRPr="00000000">
              <w:rPr>
                <w:rFonts w:ascii="Arial" w:cs="Arial" w:eastAsia="Arial" w:hAnsi="Arial"/>
                <w:sz w:val="20"/>
                <w:szCs w:val="20"/>
                <w:rtl w:val="0"/>
              </w:rPr>
              <w:t xml:space="preserve">1A2d - Pulpa, papel e imprenta</w:t>
            </w:r>
          </w:p>
          <w:p w:rsidR="00000000" w:rsidDel="00000000" w:rsidP="00000000" w:rsidRDefault="00000000" w:rsidRPr="00000000" w14:paraId="000003EF">
            <w:pPr>
              <w:rPr>
                <w:rFonts w:ascii="Arial" w:cs="Arial" w:eastAsia="Arial" w:hAnsi="Arial"/>
                <w:sz w:val="20"/>
                <w:szCs w:val="20"/>
              </w:rPr>
            </w:pPr>
            <w:r w:rsidDel="00000000" w:rsidR="00000000" w:rsidRPr="00000000">
              <w:rPr>
                <w:rFonts w:ascii="Arial" w:cs="Arial" w:eastAsia="Arial" w:hAnsi="Arial"/>
                <w:sz w:val="20"/>
                <w:szCs w:val="20"/>
                <w:rtl w:val="0"/>
              </w:rPr>
              <w:t xml:space="preserve">1A2e - Procesamiento de alimentos, bebidas y tabaco</w:t>
            </w:r>
          </w:p>
          <w:p w:rsidR="00000000" w:rsidDel="00000000" w:rsidP="00000000" w:rsidRDefault="00000000" w:rsidRPr="00000000" w14:paraId="000003F0">
            <w:pPr>
              <w:rPr>
                <w:rFonts w:ascii="Arial" w:cs="Arial" w:eastAsia="Arial" w:hAnsi="Arial"/>
                <w:sz w:val="20"/>
                <w:szCs w:val="20"/>
              </w:rPr>
            </w:pPr>
            <w:r w:rsidDel="00000000" w:rsidR="00000000" w:rsidRPr="00000000">
              <w:rPr>
                <w:rFonts w:ascii="Arial" w:cs="Arial" w:eastAsia="Arial" w:hAnsi="Arial"/>
                <w:sz w:val="20"/>
                <w:szCs w:val="20"/>
                <w:rtl w:val="0"/>
              </w:rPr>
              <w:t xml:space="preserve">1A2f - Minerales no metálicos</w:t>
            </w:r>
          </w:p>
          <w:p w:rsidR="00000000" w:rsidDel="00000000" w:rsidP="00000000" w:rsidRDefault="00000000" w:rsidRPr="00000000" w14:paraId="000003F1">
            <w:pPr>
              <w:rPr>
                <w:rFonts w:ascii="Arial" w:cs="Arial" w:eastAsia="Arial" w:hAnsi="Arial"/>
                <w:sz w:val="20"/>
                <w:szCs w:val="20"/>
              </w:rPr>
            </w:pPr>
            <w:r w:rsidDel="00000000" w:rsidR="00000000" w:rsidRPr="00000000">
              <w:rPr>
                <w:rFonts w:ascii="Arial" w:cs="Arial" w:eastAsia="Arial" w:hAnsi="Arial"/>
                <w:sz w:val="20"/>
                <w:szCs w:val="20"/>
                <w:rtl w:val="0"/>
              </w:rPr>
              <w:t xml:space="preserve">1A2g - Equipo de transporte</w:t>
            </w:r>
          </w:p>
          <w:p w:rsidR="00000000" w:rsidDel="00000000" w:rsidP="00000000" w:rsidRDefault="00000000" w:rsidRPr="00000000" w14:paraId="000003F2">
            <w:pPr>
              <w:rPr>
                <w:rFonts w:ascii="Arial" w:cs="Arial" w:eastAsia="Arial" w:hAnsi="Arial"/>
                <w:sz w:val="20"/>
                <w:szCs w:val="20"/>
              </w:rPr>
            </w:pPr>
            <w:r w:rsidDel="00000000" w:rsidR="00000000" w:rsidRPr="00000000">
              <w:rPr>
                <w:rFonts w:ascii="Arial" w:cs="Arial" w:eastAsia="Arial" w:hAnsi="Arial"/>
                <w:sz w:val="20"/>
                <w:szCs w:val="20"/>
                <w:rtl w:val="0"/>
              </w:rPr>
              <w:t xml:space="preserve">1A2h – Maquinaria</w:t>
            </w:r>
          </w:p>
          <w:p w:rsidR="00000000" w:rsidDel="00000000" w:rsidP="00000000" w:rsidRDefault="00000000" w:rsidRPr="00000000" w14:paraId="000003F3">
            <w:pPr>
              <w:rPr>
                <w:rFonts w:ascii="Arial" w:cs="Arial" w:eastAsia="Arial" w:hAnsi="Arial"/>
                <w:sz w:val="20"/>
                <w:szCs w:val="20"/>
              </w:rPr>
            </w:pPr>
            <w:r w:rsidDel="00000000" w:rsidR="00000000" w:rsidRPr="00000000">
              <w:rPr>
                <w:rFonts w:ascii="Arial" w:cs="Arial" w:eastAsia="Arial" w:hAnsi="Arial"/>
                <w:sz w:val="20"/>
                <w:szCs w:val="20"/>
                <w:rtl w:val="0"/>
              </w:rPr>
              <w:t xml:space="preserve">1A2j - Madera y productos de la madera</w:t>
            </w:r>
          </w:p>
          <w:p w:rsidR="00000000" w:rsidDel="00000000" w:rsidP="00000000" w:rsidRDefault="00000000" w:rsidRPr="00000000" w14:paraId="000003F4">
            <w:pPr>
              <w:rPr>
                <w:rFonts w:ascii="Arial" w:cs="Arial" w:eastAsia="Arial" w:hAnsi="Arial"/>
                <w:sz w:val="20"/>
                <w:szCs w:val="20"/>
              </w:rPr>
            </w:pPr>
            <w:r w:rsidDel="00000000" w:rsidR="00000000" w:rsidRPr="00000000">
              <w:rPr>
                <w:rFonts w:ascii="Arial" w:cs="Arial" w:eastAsia="Arial" w:hAnsi="Arial"/>
                <w:sz w:val="20"/>
                <w:szCs w:val="20"/>
                <w:rtl w:val="0"/>
              </w:rPr>
              <w:t xml:space="preserve">1A2l - Textiles y cueros</w:t>
            </w:r>
          </w:p>
          <w:p w:rsidR="00000000" w:rsidDel="00000000" w:rsidP="00000000" w:rsidRDefault="00000000" w:rsidRPr="00000000" w14:paraId="000003F5">
            <w:pPr>
              <w:rPr>
                <w:rFonts w:ascii="Arial" w:cs="Arial" w:eastAsia="Arial" w:hAnsi="Arial"/>
                <w:sz w:val="20"/>
                <w:szCs w:val="20"/>
              </w:rPr>
            </w:pPr>
            <w:r w:rsidDel="00000000" w:rsidR="00000000" w:rsidRPr="00000000">
              <w:rPr>
                <w:rFonts w:ascii="Arial" w:cs="Arial" w:eastAsia="Arial" w:hAnsi="Arial"/>
                <w:sz w:val="20"/>
                <w:szCs w:val="20"/>
                <w:rtl w:val="0"/>
              </w:rPr>
              <w:t xml:space="preserve">1A2m - Industria no especificada</w:t>
            </w:r>
          </w:p>
          <w:p w:rsidR="00000000" w:rsidDel="00000000" w:rsidP="00000000" w:rsidRDefault="00000000" w:rsidRPr="00000000" w14:paraId="000003F6">
            <w:pPr>
              <w:rPr>
                <w:rFonts w:ascii="Arial" w:cs="Arial" w:eastAsia="Arial" w:hAnsi="Arial"/>
                <w:sz w:val="20"/>
                <w:szCs w:val="20"/>
              </w:rPr>
            </w:pPr>
            <w:r w:rsidDel="00000000" w:rsidR="00000000" w:rsidRPr="00000000">
              <w:rPr>
                <w:rFonts w:ascii="Arial" w:cs="Arial" w:eastAsia="Arial" w:hAnsi="Arial"/>
                <w:sz w:val="20"/>
                <w:szCs w:val="20"/>
                <w:rtl w:val="0"/>
              </w:rPr>
              <w:t xml:space="preserve">1A2k – Construcción</w:t>
            </w:r>
          </w:p>
          <w:p w:rsidR="00000000" w:rsidDel="00000000" w:rsidP="00000000" w:rsidRDefault="00000000" w:rsidRPr="00000000" w14:paraId="000003F7">
            <w:pPr>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p w:rsidR="00000000" w:rsidDel="00000000" w:rsidP="00000000" w:rsidRDefault="00000000" w:rsidRPr="00000000" w14:paraId="000003F8">
            <w:pPr>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p w:rsidR="00000000" w:rsidDel="00000000" w:rsidP="00000000" w:rsidRDefault="00000000" w:rsidRPr="00000000" w14:paraId="000003F9">
            <w:pPr>
              <w:rPr>
                <w:rFonts w:ascii="Arial" w:cs="Arial" w:eastAsia="Arial" w:hAnsi="Arial"/>
                <w:sz w:val="20"/>
                <w:szCs w:val="20"/>
              </w:rPr>
            </w:pPr>
            <w:r w:rsidDel="00000000" w:rsidR="00000000" w:rsidRPr="00000000">
              <w:rPr>
                <w:rFonts w:ascii="Arial" w:cs="Arial" w:eastAsia="Arial" w:hAnsi="Arial"/>
                <w:sz w:val="20"/>
                <w:szCs w:val="20"/>
                <w:rtl w:val="0"/>
              </w:rPr>
              <w:t xml:space="preserve">1A3c Ferrocarriles</w:t>
            </w:r>
          </w:p>
          <w:p w:rsidR="00000000" w:rsidDel="00000000" w:rsidP="00000000" w:rsidRDefault="00000000" w:rsidRPr="00000000" w14:paraId="000003FA">
            <w:pPr>
              <w:rPr>
                <w:rFonts w:ascii="Arial" w:cs="Arial" w:eastAsia="Arial" w:hAnsi="Arial"/>
                <w:sz w:val="20"/>
                <w:szCs w:val="20"/>
              </w:rPr>
            </w:pPr>
            <w:r w:rsidDel="00000000" w:rsidR="00000000" w:rsidRPr="00000000">
              <w:rPr>
                <w:rFonts w:ascii="Arial" w:cs="Arial" w:eastAsia="Arial" w:hAnsi="Arial"/>
                <w:sz w:val="20"/>
                <w:szCs w:val="20"/>
                <w:rtl w:val="0"/>
              </w:rPr>
              <w:t xml:space="preserve">1A3d Navegación marítima y fluvial</w:t>
            </w:r>
          </w:p>
          <w:p w:rsidR="00000000" w:rsidDel="00000000" w:rsidP="00000000" w:rsidRDefault="00000000" w:rsidRPr="00000000" w14:paraId="000003FB">
            <w:pPr>
              <w:rPr>
                <w:rFonts w:ascii="Arial" w:cs="Arial" w:eastAsia="Arial" w:hAnsi="Arial"/>
                <w:sz w:val="20"/>
                <w:szCs w:val="20"/>
              </w:rPr>
            </w:pPr>
            <w:r w:rsidDel="00000000" w:rsidR="00000000" w:rsidRPr="00000000">
              <w:rPr>
                <w:rFonts w:ascii="Arial" w:cs="Arial" w:eastAsia="Arial" w:hAnsi="Arial"/>
                <w:sz w:val="20"/>
                <w:szCs w:val="20"/>
                <w:rtl w:val="0"/>
              </w:rPr>
              <w:t xml:space="preserve">1A3ei Transporte por tuberías</w:t>
            </w:r>
          </w:p>
        </w:tc>
      </w:tr>
      <w:tr>
        <w:trPr>
          <w:cantSplit w:val="0"/>
          <w:trHeight w:val="544" w:hRule="atLeast"/>
          <w:tblHeader w:val="0"/>
        </w:trPr>
        <w:tc>
          <w:tcPr>
            <w:vMerge w:val="continue"/>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3FD">
            <w:pPr>
              <w:rPr>
                <w:rFonts w:ascii="Arial" w:cs="Arial" w:eastAsia="Arial" w:hAnsi="Arial"/>
                <w:sz w:val="20"/>
                <w:szCs w:val="20"/>
              </w:rPr>
            </w:pPr>
            <w:r w:rsidDel="00000000" w:rsidR="00000000" w:rsidRPr="00000000">
              <w:rPr>
                <w:rFonts w:ascii="Arial" w:cs="Arial" w:eastAsia="Arial" w:hAnsi="Arial"/>
                <w:sz w:val="20"/>
                <w:szCs w:val="20"/>
                <w:rtl w:val="0"/>
              </w:rPr>
              <w:t xml:space="preserve">CONCENTRA</w:t>
            </w:r>
          </w:p>
        </w:tc>
        <w:tc>
          <w:tcPr/>
          <w:p w:rsidR="00000000" w:rsidDel="00000000" w:rsidP="00000000" w:rsidRDefault="00000000" w:rsidRPr="00000000" w14:paraId="000003FE">
            <w:pPr>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de la energía</w:t>
            </w:r>
          </w:p>
        </w:tc>
      </w:tr>
      <w:tr>
        <w:trPr>
          <w:cantSplit w:val="0"/>
          <w:trHeight w:val="412" w:hRule="atLeast"/>
          <w:tblHeader w:val="0"/>
        </w:trPr>
        <w:tc>
          <w:tcPr>
            <w:vMerge w:val="continue"/>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0">
            <w:pPr>
              <w:rPr>
                <w:rFonts w:ascii="Arial" w:cs="Arial" w:eastAsia="Arial" w:hAnsi="Arial"/>
                <w:sz w:val="20"/>
                <w:szCs w:val="20"/>
              </w:rPr>
            </w:pPr>
            <w:r w:rsidDel="00000000" w:rsidR="00000000" w:rsidRPr="00000000">
              <w:rPr>
                <w:rFonts w:ascii="Arial" w:cs="Arial" w:eastAsia="Arial" w:hAnsi="Arial"/>
                <w:sz w:val="20"/>
                <w:szCs w:val="20"/>
                <w:rtl w:val="0"/>
              </w:rPr>
              <w:t xml:space="preserve">Estudio UPME - RE Hart 2014)</w:t>
            </w:r>
          </w:p>
        </w:tc>
        <w:tc>
          <w:tcPr/>
          <w:p w:rsidR="00000000" w:rsidDel="00000000" w:rsidP="00000000" w:rsidRDefault="00000000" w:rsidRPr="00000000" w14:paraId="00000401">
            <w:pPr>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de la energía</w:t>
            </w:r>
          </w:p>
        </w:tc>
      </w:tr>
      <w:tr>
        <w:trPr>
          <w:cantSplit w:val="0"/>
          <w:trHeight w:val="290" w:hRule="atLeast"/>
          <w:tblHeader w:val="0"/>
        </w:trPr>
        <w:tc>
          <w:tcPr>
            <w:vMerge w:val="continue"/>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3">
            <w:pPr>
              <w:rPr>
                <w:rFonts w:ascii="Arial" w:cs="Arial" w:eastAsia="Arial" w:hAnsi="Arial"/>
                <w:sz w:val="20"/>
                <w:szCs w:val="20"/>
              </w:rPr>
            </w:pPr>
            <w:r w:rsidDel="00000000" w:rsidR="00000000" w:rsidRPr="00000000">
              <w:rPr>
                <w:rFonts w:ascii="Arial" w:cs="Arial" w:eastAsia="Arial" w:hAnsi="Arial"/>
                <w:sz w:val="20"/>
                <w:szCs w:val="20"/>
                <w:rtl w:val="0"/>
              </w:rPr>
              <w:t xml:space="preserve">Planes de Energización rural sostenible</w:t>
            </w:r>
          </w:p>
        </w:tc>
        <w:tc>
          <w:tcPr/>
          <w:p w:rsidR="00000000" w:rsidDel="00000000" w:rsidP="00000000" w:rsidRDefault="00000000" w:rsidRPr="00000000" w14:paraId="00000404">
            <w:pPr>
              <w:rPr>
                <w:rFonts w:ascii="Arial" w:cs="Arial" w:eastAsia="Arial" w:hAnsi="Arial"/>
                <w:sz w:val="20"/>
                <w:szCs w:val="20"/>
              </w:rPr>
            </w:pPr>
            <w:r w:rsidDel="00000000" w:rsidR="00000000" w:rsidRPr="00000000">
              <w:rPr>
                <w:rFonts w:ascii="Arial" w:cs="Arial" w:eastAsia="Arial" w:hAnsi="Arial"/>
                <w:sz w:val="20"/>
                <w:szCs w:val="20"/>
                <w:rtl w:val="0"/>
              </w:rPr>
              <w:t xml:space="preserve">1A4b Residencial</w:t>
            </w:r>
          </w:p>
          <w:p w:rsidR="00000000" w:rsidDel="00000000" w:rsidP="00000000" w:rsidRDefault="00000000" w:rsidRPr="00000000" w14:paraId="00000405">
            <w:pPr>
              <w:rPr>
                <w:rFonts w:ascii="Arial" w:cs="Arial" w:eastAsia="Arial" w:hAnsi="Arial"/>
                <w:sz w:val="20"/>
                <w:szCs w:val="20"/>
              </w:rPr>
            </w:pPr>
            <w:r w:rsidDel="00000000" w:rsidR="00000000" w:rsidRPr="00000000">
              <w:rPr>
                <w:rFonts w:ascii="Arial" w:cs="Arial" w:eastAsia="Arial" w:hAnsi="Arial"/>
                <w:sz w:val="20"/>
                <w:szCs w:val="20"/>
                <w:rtl w:val="0"/>
              </w:rPr>
              <w:t xml:space="preserve">3B1ai. Tierras forestales que permanecen como tales (biomasa consumo de leña)</w:t>
            </w:r>
          </w:p>
        </w:tc>
      </w:tr>
      <w:tr>
        <w:trPr>
          <w:cantSplit w:val="0"/>
          <w:trHeight w:val="500" w:hRule="atLeast"/>
          <w:tblHeader w:val="0"/>
        </w:trPr>
        <w:tc>
          <w:tcPr>
            <w:vMerge w:val="continue"/>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7">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Consumos Auto &amp; Cogeneración</w:t>
            </w:r>
          </w:p>
        </w:tc>
        <w:tc>
          <w:tcPr/>
          <w:p w:rsidR="00000000" w:rsidDel="00000000" w:rsidP="00000000" w:rsidRDefault="00000000" w:rsidRPr="00000000" w14:paraId="00000408">
            <w:pPr>
              <w:rPr>
                <w:rFonts w:ascii="Arial" w:cs="Arial" w:eastAsia="Arial" w:hAnsi="Arial"/>
                <w:sz w:val="20"/>
                <w:szCs w:val="20"/>
              </w:rPr>
            </w:pPr>
            <w:r w:rsidDel="00000000" w:rsidR="00000000" w:rsidRPr="00000000">
              <w:rPr>
                <w:rFonts w:ascii="Arial" w:cs="Arial" w:eastAsia="Arial" w:hAnsi="Arial"/>
                <w:sz w:val="20"/>
                <w:szCs w:val="20"/>
                <w:rtl w:val="0"/>
              </w:rPr>
              <w:t xml:space="preserve">1A1b Refinación de petróleo</w:t>
            </w:r>
          </w:p>
        </w:tc>
      </w:tr>
      <w:tr>
        <w:trPr>
          <w:cantSplit w:val="0"/>
          <w:trHeight w:val="259" w:hRule="atLeast"/>
          <w:tblHeader w:val="0"/>
        </w:trPr>
        <w:tc>
          <w:tcPr>
            <w:vMerge w:val="continue"/>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A">
            <w:pPr>
              <w:rPr>
                <w:rFonts w:ascii="Arial" w:cs="Arial" w:eastAsia="Arial" w:hAnsi="Arial"/>
                <w:sz w:val="20"/>
                <w:szCs w:val="20"/>
              </w:rPr>
            </w:pPr>
            <w:r w:rsidDel="00000000" w:rsidR="00000000" w:rsidRPr="00000000">
              <w:rPr>
                <w:rFonts w:ascii="Arial" w:cs="Arial" w:eastAsia="Arial" w:hAnsi="Arial"/>
                <w:sz w:val="20"/>
                <w:szCs w:val="20"/>
                <w:rtl w:val="0"/>
              </w:rPr>
              <w:t xml:space="preserve">SICOM</w:t>
            </w:r>
          </w:p>
        </w:tc>
        <w:tc>
          <w:tcPr/>
          <w:p w:rsidR="00000000" w:rsidDel="00000000" w:rsidP="00000000" w:rsidRDefault="00000000" w:rsidRPr="00000000" w14:paraId="0000040B">
            <w:pPr>
              <w:rPr>
                <w:rFonts w:ascii="Arial" w:cs="Arial" w:eastAsia="Arial" w:hAnsi="Arial"/>
                <w:sz w:val="20"/>
                <w:szCs w:val="20"/>
              </w:rPr>
            </w:pPr>
            <w:r w:rsidDel="00000000" w:rsidR="00000000" w:rsidRPr="00000000">
              <w:rPr>
                <w:rFonts w:ascii="Arial" w:cs="Arial" w:eastAsia="Arial" w:hAnsi="Arial"/>
                <w:sz w:val="20"/>
                <w:szCs w:val="20"/>
                <w:rtl w:val="0"/>
              </w:rPr>
              <w:t xml:space="preserve">1A2i - Minería (con excepción de combustibles) y cantería</w:t>
            </w:r>
          </w:p>
          <w:p w:rsidR="00000000" w:rsidDel="00000000" w:rsidP="00000000" w:rsidRDefault="00000000" w:rsidRPr="00000000" w14:paraId="0000040C">
            <w:pPr>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de la energía</w:t>
            </w:r>
          </w:p>
        </w:tc>
      </w:tr>
      <w:tr>
        <w:trPr>
          <w:cantSplit w:val="0"/>
          <w:trHeight w:val="290" w:hRule="atLeast"/>
          <w:tblHeader w:val="0"/>
        </w:trPr>
        <w:tc>
          <w:tcPr>
            <w:vMerge w:val="continue"/>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0E">
            <w:pPr>
              <w:rPr>
                <w:rFonts w:ascii="Arial" w:cs="Arial" w:eastAsia="Arial" w:hAnsi="Arial"/>
                <w:sz w:val="20"/>
                <w:szCs w:val="20"/>
              </w:rPr>
            </w:pPr>
            <w:r w:rsidDel="00000000" w:rsidR="00000000" w:rsidRPr="00000000">
              <w:rPr>
                <w:rFonts w:ascii="Arial" w:cs="Arial" w:eastAsia="Arial" w:hAnsi="Arial"/>
                <w:sz w:val="20"/>
                <w:szCs w:val="20"/>
                <w:rtl w:val="0"/>
              </w:rPr>
              <w:t xml:space="preserve">SIMCO</w:t>
            </w:r>
          </w:p>
        </w:tc>
        <w:tc>
          <w:tcPr/>
          <w:p w:rsidR="00000000" w:rsidDel="00000000" w:rsidP="00000000" w:rsidRDefault="00000000" w:rsidRPr="00000000" w14:paraId="0000040F">
            <w:pPr>
              <w:rPr>
                <w:rFonts w:ascii="Arial" w:cs="Arial" w:eastAsia="Arial" w:hAnsi="Arial"/>
                <w:sz w:val="20"/>
                <w:szCs w:val="20"/>
              </w:rPr>
            </w:pPr>
            <w:r w:rsidDel="00000000" w:rsidR="00000000" w:rsidRPr="00000000">
              <w:rPr>
                <w:rFonts w:ascii="Arial" w:cs="Arial" w:eastAsia="Arial" w:hAnsi="Arial"/>
                <w:sz w:val="20"/>
                <w:szCs w:val="20"/>
                <w:rtl w:val="0"/>
              </w:rPr>
              <w:t xml:space="preserve">1B1 Combustibles sólidos</w:t>
            </w:r>
          </w:p>
          <w:p w:rsidR="00000000" w:rsidDel="00000000" w:rsidP="00000000" w:rsidRDefault="00000000" w:rsidRPr="00000000" w14:paraId="00000410">
            <w:pPr>
              <w:rPr>
                <w:rFonts w:ascii="Arial" w:cs="Arial" w:eastAsia="Arial" w:hAnsi="Arial"/>
                <w:sz w:val="20"/>
                <w:szCs w:val="20"/>
              </w:rPr>
            </w:pPr>
            <w:r w:rsidDel="00000000" w:rsidR="00000000" w:rsidRPr="00000000">
              <w:rPr>
                <w:rFonts w:ascii="Arial" w:cs="Arial" w:eastAsia="Arial" w:hAnsi="Arial"/>
                <w:sz w:val="20"/>
                <w:szCs w:val="20"/>
                <w:rtl w:val="0"/>
              </w:rPr>
              <w:t xml:space="preserve">2C1 - Producción de hierro y acero</w:t>
            </w:r>
          </w:p>
        </w:tc>
      </w:tr>
      <w:tr>
        <w:trPr>
          <w:cantSplit w:val="0"/>
          <w:trHeight w:val="290" w:hRule="atLeast"/>
          <w:tblHeader w:val="0"/>
        </w:trPr>
        <w:tc>
          <w:tcPr>
            <w:vMerge w:val="continue"/>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12">
            <w:pPr>
              <w:rPr>
                <w:rFonts w:ascii="Arial" w:cs="Arial" w:eastAsia="Arial" w:hAnsi="Arial"/>
                <w:sz w:val="20"/>
                <w:szCs w:val="20"/>
              </w:rPr>
            </w:pPr>
            <w:r w:rsidDel="00000000" w:rsidR="00000000" w:rsidRPr="00000000">
              <w:rPr>
                <w:rFonts w:ascii="Arial" w:cs="Arial" w:eastAsia="Arial" w:hAnsi="Arial"/>
                <w:sz w:val="20"/>
                <w:szCs w:val="20"/>
                <w:rtl w:val="0"/>
              </w:rPr>
              <w:t xml:space="preserve">SIPG</w:t>
            </w:r>
          </w:p>
        </w:tc>
        <w:tc>
          <w:tcPr/>
          <w:p w:rsidR="00000000" w:rsidDel="00000000" w:rsidP="00000000" w:rsidRDefault="00000000" w:rsidRPr="00000000" w14:paraId="00000413">
            <w:pPr>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p w:rsidR="00000000" w:rsidDel="00000000" w:rsidP="00000000" w:rsidRDefault="00000000" w:rsidRPr="00000000" w14:paraId="00000414">
            <w:pPr>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rHeight w:val="1250" w:hRule="atLeast"/>
          <w:tblHeader w:val="0"/>
        </w:trPr>
        <w:tc>
          <w:tcPr/>
          <w:p w:rsidR="00000000" w:rsidDel="00000000" w:rsidP="00000000" w:rsidRDefault="00000000" w:rsidRPr="00000000" w14:paraId="00000415">
            <w:pPr>
              <w:rPr>
                <w:rFonts w:ascii="Arial" w:cs="Arial" w:eastAsia="Arial" w:hAnsi="Arial"/>
                <w:sz w:val="20"/>
                <w:szCs w:val="20"/>
              </w:rPr>
            </w:pPr>
            <w:r w:rsidDel="00000000" w:rsidR="00000000" w:rsidRPr="00000000">
              <w:rPr>
                <w:rFonts w:ascii="Arial" w:cs="Arial" w:eastAsia="Arial" w:hAnsi="Arial"/>
                <w:sz w:val="20"/>
                <w:szCs w:val="20"/>
                <w:rtl w:val="0"/>
              </w:rPr>
              <w:t xml:space="preserve">Unidad Técnica de Ozono – Ministerio de medio ambiente y desarrollo sostenible (UTO-MADS)</w:t>
            </w:r>
          </w:p>
        </w:tc>
        <w:tc>
          <w:tcPr/>
          <w:p w:rsidR="00000000" w:rsidDel="00000000" w:rsidP="00000000" w:rsidRDefault="00000000" w:rsidRPr="00000000" w14:paraId="00000416">
            <w:pPr>
              <w:rPr>
                <w:rFonts w:ascii="Arial" w:cs="Arial" w:eastAsia="Arial" w:hAnsi="Arial"/>
                <w:sz w:val="20"/>
                <w:szCs w:val="20"/>
              </w:rPr>
            </w:pPr>
            <w:r w:rsidDel="00000000" w:rsidR="00000000" w:rsidRPr="00000000">
              <w:rPr>
                <w:rFonts w:ascii="Arial" w:cs="Arial" w:eastAsia="Arial" w:hAnsi="Arial"/>
                <w:sz w:val="20"/>
                <w:szCs w:val="20"/>
                <w:rtl w:val="0"/>
              </w:rPr>
              <w:t xml:space="preserve">Solicitud oficial</w:t>
            </w:r>
          </w:p>
        </w:tc>
        <w:tc>
          <w:tcPr/>
          <w:p w:rsidR="00000000" w:rsidDel="00000000" w:rsidP="00000000" w:rsidRDefault="00000000" w:rsidRPr="00000000" w14:paraId="00000417">
            <w:pPr>
              <w:rPr>
                <w:rFonts w:ascii="Arial" w:cs="Arial" w:eastAsia="Arial" w:hAnsi="Arial"/>
                <w:sz w:val="20"/>
                <w:szCs w:val="20"/>
              </w:rPr>
            </w:pPr>
            <w:r w:rsidDel="00000000" w:rsidR="00000000" w:rsidRPr="00000000">
              <w:rPr>
                <w:rFonts w:ascii="Arial" w:cs="Arial" w:eastAsia="Arial" w:hAnsi="Arial"/>
                <w:sz w:val="20"/>
                <w:szCs w:val="20"/>
                <w:rtl w:val="0"/>
              </w:rPr>
              <w:t xml:space="preserve">2F - Uso de productos sustitutos de las sustancias que agotan la capa de ozono</w:t>
            </w:r>
          </w:p>
        </w:tc>
      </w:tr>
      <w:tr>
        <w:trPr>
          <w:cantSplit w:val="0"/>
          <w:trHeight w:val="500" w:hRule="atLeast"/>
          <w:tblHeader w:val="0"/>
        </w:trPr>
        <w:tc>
          <w:tcPr/>
          <w:p w:rsidR="00000000" w:rsidDel="00000000" w:rsidP="00000000" w:rsidRDefault="00000000" w:rsidRPr="00000000" w14:paraId="00000418">
            <w:pPr>
              <w:rPr>
                <w:rFonts w:ascii="Arial" w:cs="Arial" w:eastAsia="Arial" w:hAnsi="Arial"/>
                <w:sz w:val="20"/>
                <w:szCs w:val="20"/>
              </w:rPr>
            </w:pPr>
            <w:r w:rsidDel="00000000" w:rsidR="00000000" w:rsidRPr="00000000">
              <w:rPr>
                <w:rFonts w:ascii="Arial" w:cs="Arial" w:eastAsia="Arial" w:hAnsi="Arial"/>
                <w:sz w:val="20"/>
                <w:szCs w:val="20"/>
                <w:rtl w:val="0"/>
              </w:rPr>
              <w:t xml:space="preserve">WSA (World steel association)</w:t>
            </w:r>
          </w:p>
        </w:tc>
        <w:tc>
          <w:tcPr/>
          <w:p w:rsidR="00000000" w:rsidDel="00000000" w:rsidP="00000000" w:rsidRDefault="00000000" w:rsidRPr="00000000" w14:paraId="00000419">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 anual</w:t>
            </w:r>
          </w:p>
        </w:tc>
        <w:tc>
          <w:tcPr/>
          <w:p w:rsidR="00000000" w:rsidDel="00000000" w:rsidP="00000000" w:rsidRDefault="00000000" w:rsidRPr="00000000" w14:paraId="0000041A">
            <w:pPr>
              <w:rPr>
                <w:rFonts w:ascii="Arial" w:cs="Arial" w:eastAsia="Arial" w:hAnsi="Arial"/>
                <w:sz w:val="20"/>
                <w:szCs w:val="20"/>
              </w:rPr>
            </w:pPr>
            <w:r w:rsidDel="00000000" w:rsidR="00000000" w:rsidRPr="00000000">
              <w:rPr>
                <w:rFonts w:ascii="Arial" w:cs="Arial" w:eastAsia="Arial" w:hAnsi="Arial"/>
                <w:sz w:val="20"/>
                <w:szCs w:val="20"/>
                <w:rtl w:val="0"/>
              </w:rPr>
              <w:t xml:space="preserve">2C1 - Producción de hierro y acero</w:t>
            </w:r>
          </w:p>
          <w:p w:rsidR="00000000" w:rsidDel="00000000" w:rsidP="00000000" w:rsidRDefault="00000000" w:rsidRPr="00000000" w14:paraId="0000041B">
            <w:pPr>
              <w:rPr>
                <w:rFonts w:ascii="Arial" w:cs="Arial" w:eastAsia="Arial" w:hAnsi="Arial"/>
                <w:sz w:val="20"/>
                <w:szCs w:val="20"/>
              </w:rPr>
            </w:pPr>
            <w:r w:rsidDel="00000000" w:rsidR="00000000" w:rsidRPr="00000000">
              <w:rPr>
                <w:rFonts w:ascii="Arial" w:cs="Arial" w:eastAsia="Arial" w:hAnsi="Arial"/>
                <w:sz w:val="20"/>
                <w:szCs w:val="20"/>
                <w:rtl w:val="0"/>
              </w:rPr>
              <w:t xml:space="preserve">4D2 - Tratamiento y eliminación de aguas residuales industriales</w:t>
            </w:r>
          </w:p>
        </w:tc>
      </w:tr>
      <w:tr>
        <w:trPr>
          <w:cantSplit w:val="0"/>
          <w:trHeight w:val="283" w:hRule="atLeast"/>
          <w:tblHeader w:val="0"/>
        </w:trPr>
        <w:tc>
          <w:tcPr>
            <w:vMerge w:val="restart"/>
          </w:tcPr>
          <w:p w:rsidR="00000000" w:rsidDel="00000000" w:rsidP="00000000" w:rsidRDefault="00000000" w:rsidRPr="00000000" w14:paraId="0000041C">
            <w:pPr>
              <w:rPr>
                <w:rFonts w:ascii="Arial" w:cs="Arial" w:eastAsia="Arial" w:hAnsi="Arial"/>
                <w:sz w:val="20"/>
                <w:szCs w:val="20"/>
              </w:rPr>
            </w:pPr>
            <w:r w:rsidDel="00000000" w:rsidR="00000000" w:rsidRPr="00000000">
              <w:rPr>
                <w:rFonts w:ascii="Arial" w:cs="Arial" w:eastAsia="Arial" w:hAnsi="Arial"/>
                <w:sz w:val="20"/>
                <w:szCs w:val="20"/>
                <w:rtl w:val="0"/>
              </w:rPr>
              <w:t xml:space="preserve">XM</w:t>
            </w:r>
          </w:p>
        </w:tc>
        <w:tc>
          <w:tcPr/>
          <w:p w:rsidR="00000000" w:rsidDel="00000000" w:rsidP="00000000" w:rsidRDefault="00000000" w:rsidRPr="00000000" w14:paraId="0000041D">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 de Operación SIN</w:t>
            </w:r>
          </w:p>
        </w:tc>
        <w:tc>
          <w:tcPr/>
          <w:p w:rsidR="00000000" w:rsidDel="00000000" w:rsidP="00000000" w:rsidRDefault="00000000" w:rsidRPr="00000000" w14:paraId="0000041E">
            <w:pPr>
              <w:rPr>
                <w:rFonts w:ascii="Arial" w:cs="Arial" w:eastAsia="Arial" w:hAnsi="Arial"/>
                <w:sz w:val="20"/>
                <w:szCs w:val="20"/>
              </w:rPr>
            </w:pPr>
            <w:r w:rsidDel="00000000" w:rsidR="00000000" w:rsidRPr="00000000">
              <w:rPr>
                <w:rFonts w:ascii="Arial" w:cs="Arial" w:eastAsia="Arial" w:hAnsi="Arial"/>
                <w:sz w:val="20"/>
                <w:szCs w:val="20"/>
                <w:rtl w:val="0"/>
              </w:rPr>
              <w:t xml:space="preserve">2G1 - Manufactura y utilización de otros productos</w:t>
            </w:r>
          </w:p>
        </w:tc>
      </w:tr>
      <w:tr>
        <w:trPr>
          <w:cantSplit w:val="0"/>
          <w:trHeight w:val="750" w:hRule="atLeast"/>
          <w:tblHeader w:val="0"/>
        </w:trPr>
        <w:tc>
          <w:tcPr>
            <w:vMerge w:val="continue"/>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20">
            <w:pPr>
              <w:rPr>
                <w:rFonts w:ascii="Arial" w:cs="Arial" w:eastAsia="Arial" w:hAnsi="Arial"/>
                <w:sz w:val="20"/>
                <w:szCs w:val="20"/>
              </w:rPr>
            </w:pPr>
            <w:r w:rsidDel="00000000" w:rsidR="00000000" w:rsidRPr="00000000">
              <w:rPr>
                <w:rFonts w:ascii="Arial" w:cs="Arial" w:eastAsia="Arial" w:hAnsi="Arial"/>
                <w:sz w:val="20"/>
                <w:szCs w:val="20"/>
                <w:rtl w:val="0"/>
              </w:rPr>
              <w:t xml:space="preserve">Sinergox</w:t>
            </w:r>
          </w:p>
        </w:tc>
        <w:tc>
          <w:tcPr/>
          <w:p w:rsidR="00000000" w:rsidDel="00000000" w:rsidP="00000000" w:rsidRDefault="00000000" w:rsidRPr="00000000" w14:paraId="00000421">
            <w:pPr>
              <w:rPr>
                <w:rFonts w:ascii="Arial" w:cs="Arial" w:eastAsia="Arial" w:hAnsi="Arial"/>
                <w:sz w:val="20"/>
                <w:szCs w:val="20"/>
              </w:rPr>
            </w:pPr>
            <w:r w:rsidDel="00000000" w:rsidR="00000000" w:rsidRPr="00000000">
              <w:rPr>
                <w:rFonts w:ascii="Arial" w:cs="Arial" w:eastAsia="Arial" w:hAnsi="Arial"/>
                <w:sz w:val="20"/>
                <w:szCs w:val="20"/>
                <w:rtl w:val="0"/>
              </w:rPr>
              <w:t xml:space="preserve">1A1a Actividad principal producción de electricidad y calor</w:t>
            </w:r>
          </w:p>
        </w:tc>
      </w:tr>
      <w:tr>
        <w:trPr>
          <w:cantSplit w:val="0"/>
          <w:trHeight w:val="500" w:hRule="atLeast"/>
          <w:tblHeader w:val="0"/>
        </w:trPr>
        <w:tc>
          <w:tcPr>
            <w:vMerge w:val="continue"/>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23">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de embalses</w:t>
            </w:r>
          </w:p>
        </w:tc>
        <w:tc>
          <w:tcPr/>
          <w:p w:rsidR="00000000" w:rsidDel="00000000" w:rsidP="00000000" w:rsidRDefault="00000000" w:rsidRPr="00000000" w14:paraId="00000424">
            <w:pPr>
              <w:rPr>
                <w:rFonts w:ascii="Arial" w:cs="Arial" w:eastAsia="Arial" w:hAnsi="Arial"/>
                <w:sz w:val="20"/>
                <w:szCs w:val="20"/>
              </w:rPr>
            </w:pPr>
            <w:r w:rsidDel="00000000" w:rsidR="00000000" w:rsidRPr="00000000">
              <w:rPr>
                <w:rFonts w:ascii="Arial" w:cs="Arial" w:eastAsia="Arial" w:hAnsi="Arial"/>
                <w:sz w:val="20"/>
                <w:szCs w:val="20"/>
                <w:rtl w:val="0"/>
              </w:rPr>
              <w:t xml:space="preserve">3B4a Humedales que permanecen como tales</w:t>
            </w:r>
          </w:p>
        </w:tc>
      </w:tr>
      <w:tr>
        <w:trPr>
          <w:cantSplit w:val="0"/>
          <w:trHeight w:val="500" w:hRule="atLeast"/>
          <w:tblHeader w:val="0"/>
        </w:trPr>
        <w:tc>
          <w:tcPr/>
          <w:p w:rsidR="00000000" w:rsidDel="00000000" w:rsidP="00000000" w:rsidRDefault="00000000" w:rsidRPr="00000000" w14:paraId="00000425">
            <w:pPr>
              <w:rPr>
                <w:rFonts w:ascii="Arial" w:cs="Arial" w:eastAsia="Arial" w:hAnsi="Arial"/>
                <w:sz w:val="20"/>
                <w:szCs w:val="20"/>
              </w:rPr>
            </w:pPr>
            <w:r w:rsidDel="00000000" w:rsidR="00000000" w:rsidRPr="00000000">
              <w:rPr>
                <w:rFonts w:ascii="Arial" w:cs="Arial" w:eastAsia="Arial" w:hAnsi="Arial"/>
                <w:sz w:val="20"/>
                <w:szCs w:val="20"/>
                <w:rtl w:val="0"/>
              </w:rPr>
              <w:t xml:space="preserve">ACOLGEN</w:t>
            </w:r>
          </w:p>
        </w:tc>
        <w:tc>
          <w:tcPr/>
          <w:p w:rsidR="00000000" w:rsidDel="00000000" w:rsidP="00000000" w:rsidRDefault="00000000" w:rsidRPr="00000000" w14:paraId="00000426">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de embalses</w:t>
            </w:r>
          </w:p>
        </w:tc>
        <w:tc>
          <w:tcPr/>
          <w:p w:rsidR="00000000" w:rsidDel="00000000" w:rsidP="00000000" w:rsidRDefault="00000000" w:rsidRPr="00000000" w14:paraId="00000427">
            <w:pPr>
              <w:rPr>
                <w:rFonts w:ascii="Arial" w:cs="Arial" w:eastAsia="Arial" w:hAnsi="Arial"/>
                <w:sz w:val="20"/>
                <w:szCs w:val="20"/>
              </w:rPr>
            </w:pPr>
            <w:r w:rsidDel="00000000" w:rsidR="00000000" w:rsidRPr="00000000">
              <w:rPr>
                <w:rFonts w:ascii="Arial" w:cs="Arial" w:eastAsia="Arial" w:hAnsi="Arial"/>
                <w:sz w:val="20"/>
                <w:szCs w:val="20"/>
                <w:rtl w:val="0"/>
              </w:rPr>
              <w:t xml:space="preserve">3B4a Humedales que permanecen como tales</w:t>
            </w:r>
          </w:p>
        </w:tc>
      </w:tr>
      <w:tr>
        <w:trPr>
          <w:cantSplit w:val="0"/>
          <w:trHeight w:val="181" w:hRule="atLeast"/>
          <w:tblHeader w:val="0"/>
        </w:trPr>
        <w:tc>
          <w:tcPr/>
          <w:p w:rsidR="00000000" w:rsidDel="00000000" w:rsidP="00000000" w:rsidRDefault="00000000" w:rsidRPr="00000000" w14:paraId="00000428">
            <w:pPr>
              <w:rPr>
                <w:rFonts w:ascii="Arial" w:cs="Arial" w:eastAsia="Arial" w:hAnsi="Arial"/>
                <w:sz w:val="20"/>
                <w:szCs w:val="20"/>
              </w:rPr>
            </w:pPr>
            <w:r w:rsidDel="00000000" w:rsidR="00000000" w:rsidRPr="00000000">
              <w:rPr>
                <w:rFonts w:ascii="Arial" w:cs="Arial" w:eastAsia="Arial" w:hAnsi="Arial"/>
                <w:sz w:val="20"/>
                <w:szCs w:val="20"/>
                <w:rtl w:val="0"/>
              </w:rPr>
              <w:t xml:space="preserve">CIAT, USAID; Consulta de expertos</w:t>
            </w:r>
          </w:p>
          <w:p w:rsidR="00000000" w:rsidDel="00000000" w:rsidP="00000000" w:rsidRDefault="00000000" w:rsidRPr="00000000" w14:paraId="00000429">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2A">
            <w:pPr>
              <w:rPr>
                <w:rFonts w:ascii="Arial" w:cs="Arial" w:eastAsia="Arial" w:hAnsi="Arial"/>
                <w:sz w:val="20"/>
                <w:szCs w:val="20"/>
              </w:rPr>
            </w:pPr>
            <w:r w:rsidDel="00000000" w:rsidR="00000000" w:rsidRPr="00000000">
              <w:rPr>
                <w:rFonts w:ascii="Arial" w:cs="Arial" w:eastAsia="Arial" w:hAnsi="Arial"/>
                <w:sz w:val="20"/>
                <w:szCs w:val="20"/>
                <w:rtl w:val="0"/>
              </w:rPr>
              <w:t xml:space="preserve">Base de datos de Venta e importaciones nacionales de fertilizantes sintético</w:t>
            </w:r>
          </w:p>
        </w:tc>
        <w:tc>
          <w:tcPr/>
          <w:p w:rsidR="00000000" w:rsidDel="00000000" w:rsidP="00000000" w:rsidRDefault="00000000" w:rsidRPr="00000000" w14:paraId="0000042B">
            <w:pPr>
              <w:rPr>
                <w:rFonts w:ascii="Arial" w:cs="Arial" w:eastAsia="Arial" w:hAnsi="Arial"/>
                <w:sz w:val="20"/>
                <w:szCs w:val="20"/>
              </w:rPr>
            </w:pPr>
            <w:r w:rsidDel="00000000" w:rsidR="00000000" w:rsidRPr="00000000">
              <w:rPr>
                <w:rFonts w:ascii="Arial" w:cs="Arial" w:eastAsia="Arial" w:hAnsi="Arial"/>
                <w:sz w:val="20"/>
                <w:szCs w:val="20"/>
                <w:rtl w:val="0"/>
              </w:rPr>
              <w:t xml:space="preserve">3C3. Aplicación de Urea</w:t>
            </w:r>
          </w:p>
          <w:p w:rsidR="00000000" w:rsidDel="00000000" w:rsidP="00000000" w:rsidRDefault="00000000" w:rsidRPr="00000000" w14:paraId="0000042C">
            <w:pPr>
              <w:rPr>
                <w:rFonts w:ascii="Arial" w:cs="Arial" w:eastAsia="Arial" w:hAnsi="Arial"/>
                <w:sz w:val="20"/>
                <w:szCs w:val="20"/>
              </w:rPr>
            </w:pPr>
            <w:r w:rsidDel="00000000" w:rsidR="00000000" w:rsidRPr="00000000">
              <w:rPr>
                <w:rFonts w:ascii="Arial" w:cs="Arial" w:eastAsia="Arial" w:hAnsi="Arial"/>
                <w:sz w:val="20"/>
                <w:szCs w:val="20"/>
                <w:rtl w:val="0"/>
              </w:rPr>
              <w:t xml:space="preserve">3C4a. Fertilizante sintético</w:t>
            </w:r>
          </w:p>
          <w:p w:rsidR="00000000" w:rsidDel="00000000" w:rsidP="00000000" w:rsidRDefault="00000000" w:rsidRPr="00000000" w14:paraId="0000042D">
            <w:pPr>
              <w:rPr>
                <w:rFonts w:ascii="Arial" w:cs="Arial" w:eastAsia="Arial" w:hAnsi="Arial"/>
                <w:sz w:val="20"/>
                <w:szCs w:val="20"/>
              </w:rPr>
            </w:pPr>
            <w:r w:rsidDel="00000000" w:rsidR="00000000" w:rsidRPr="00000000">
              <w:rPr>
                <w:rFonts w:ascii="Arial" w:cs="Arial" w:eastAsia="Arial" w:hAnsi="Arial"/>
                <w:sz w:val="20"/>
                <w:szCs w:val="20"/>
                <w:rtl w:val="0"/>
              </w:rPr>
              <w:t xml:space="preserve">3C5a. Volatilización FSN</w:t>
            </w:r>
          </w:p>
          <w:p w:rsidR="00000000" w:rsidDel="00000000" w:rsidP="00000000" w:rsidRDefault="00000000" w:rsidRPr="00000000" w14:paraId="0000042E">
            <w:pPr>
              <w:rPr>
                <w:rFonts w:ascii="Arial" w:cs="Arial" w:eastAsia="Arial" w:hAnsi="Arial"/>
                <w:sz w:val="20"/>
                <w:szCs w:val="20"/>
              </w:rPr>
            </w:pPr>
            <w:r w:rsidDel="00000000" w:rsidR="00000000" w:rsidRPr="00000000">
              <w:rPr>
                <w:rFonts w:ascii="Arial" w:cs="Arial" w:eastAsia="Arial" w:hAnsi="Arial"/>
                <w:sz w:val="20"/>
                <w:szCs w:val="20"/>
                <w:rtl w:val="0"/>
              </w:rPr>
              <w:t xml:space="preserve">3C5d. Lixiviación FSN</w:t>
            </w:r>
          </w:p>
        </w:tc>
      </w:tr>
      <w:tr>
        <w:trPr>
          <w:cantSplit w:val="0"/>
          <w:trHeight w:val="290" w:hRule="atLeast"/>
          <w:tblHeader w:val="0"/>
        </w:trPr>
        <w:tc>
          <w:tcPr/>
          <w:p w:rsidR="00000000" w:rsidDel="00000000" w:rsidP="00000000" w:rsidRDefault="00000000" w:rsidRPr="00000000" w14:paraId="0000042F">
            <w:pPr>
              <w:rPr>
                <w:rFonts w:ascii="Arial" w:cs="Arial" w:eastAsia="Arial" w:hAnsi="Arial"/>
                <w:sz w:val="20"/>
                <w:szCs w:val="20"/>
              </w:rPr>
            </w:pPr>
            <w:r w:rsidDel="00000000" w:rsidR="00000000" w:rsidRPr="00000000">
              <w:rPr>
                <w:rFonts w:ascii="Arial" w:cs="Arial" w:eastAsia="Arial" w:hAnsi="Arial"/>
                <w:sz w:val="20"/>
                <w:szCs w:val="20"/>
                <w:rtl w:val="0"/>
              </w:rPr>
              <w:t xml:space="preserve">FAOSTAT-FAO</w:t>
            </w:r>
          </w:p>
        </w:tc>
        <w:tc>
          <w:tcPr/>
          <w:p w:rsidR="00000000" w:rsidDel="00000000" w:rsidP="00000000" w:rsidRDefault="00000000" w:rsidRPr="00000000" w14:paraId="00000430">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de la FAO sobre Producción, importaciones y exportaciones de 59 productos de madera para Colombia</w:t>
            </w:r>
          </w:p>
        </w:tc>
        <w:tc>
          <w:tcPr/>
          <w:p w:rsidR="00000000" w:rsidDel="00000000" w:rsidP="00000000" w:rsidRDefault="00000000" w:rsidRPr="00000000" w14:paraId="00000431">
            <w:pPr>
              <w:rPr>
                <w:rFonts w:ascii="Arial" w:cs="Arial" w:eastAsia="Arial" w:hAnsi="Arial"/>
                <w:sz w:val="20"/>
                <w:szCs w:val="20"/>
              </w:rPr>
            </w:pPr>
            <w:r w:rsidDel="00000000" w:rsidR="00000000" w:rsidRPr="00000000">
              <w:rPr>
                <w:rFonts w:ascii="Arial" w:cs="Arial" w:eastAsia="Arial" w:hAnsi="Arial"/>
                <w:sz w:val="20"/>
                <w:szCs w:val="20"/>
                <w:rtl w:val="0"/>
              </w:rPr>
              <w:t xml:space="preserve">3D1. Productos de la madera recolectada</w:t>
            </w:r>
          </w:p>
        </w:tc>
      </w:tr>
      <w:tr>
        <w:trPr>
          <w:cantSplit w:val="0"/>
          <w:trHeight w:val="290" w:hRule="atLeast"/>
          <w:tblHeader w:val="0"/>
        </w:trPr>
        <w:tc>
          <w:tcPr/>
          <w:p w:rsidR="00000000" w:rsidDel="00000000" w:rsidP="00000000" w:rsidRDefault="00000000" w:rsidRPr="00000000" w14:paraId="00000432">
            <w:pPr>
              <w:rPr>
                <w:rFonts w:ascii="Arial" w:cs="Arial" w:eastAsia="Arial" w:hAnsi="Arial"/>
                <w:sz w:val="20"/>
                <w:szCs w:val="20"/>
              </w:rPr>
            </w:pPr>
            <w:r w:rsidDel="00000000" w:rsidR="00000000" w:rsidRPr="00000000">
              <w:rPr>
                <w:rFonts w:ascii="Arial" w:cs="Arial" w:eastAsia="Arial" w:hAnsi="Arial"/>
                <w:sz w:val="20"/>
                <w:szCs w:val="20"/>
                <w:rtl w:val="0"/>
              </w:rPr>
              <w:t xml:space="preserve">FEDECACAO, MADR-CIAT</w:t>
            </w:r>
          </w:p>
        </w:tc>
        <w:tc>
          <w:tcPr/>
          <w:p w:rsidR="00000000" w:rsidDel="00000000" w:rsidP="00000000" w:rsidRDefault="00000000" w:rsidRPr="00000000" w14:paraId="00000433">
            <w:pPr>
              <w:rPr>
                <w:rFonts w:ascii="Arial" w:cs="Arial" w:eastAsia="Arial" w:hAnsi="Arial"/>
                <w:sz w:val="20"/>
                <w:szCs w:val="20"/>
              </w:rPr>
            </w:pPr>
            <w:r w:rsidDel="00000000" w:rsidR="00000000" w:rsidRPr="00000000">
              <w:rPr>
                <w:rFonts w:ascii="Arial" w:cs="Arial" w:eastAsia="Arial" w:hAnsi="Arial"/>
                <w:sz w:val="20"/>
                <w:szCs w:val="20"/>
                <w:rtl w:val="0"/>
              </w:rPr>
              <w:t xml:space="preserve">Datos anuales de áreas de cacao; MADR-CIAT, 2015. Análisis integral de sistemas productivos en Colombia para la adaptación al cambio climático. CONVENIO MADR-CIAT 20120382</w:t>
            </w:r>
          </w:p>
        </w:tc>
        <w:tc>
          <w:tcPr/>
          <w:p w:rsidR="00000000" w:rsidDel="00000000" w:rsidP="00000000" w:rsidRDefault="00000000" w:rsidRPr="00000000" w14:paraId="00000434">
            <w:pPr>
              <w:rPr>
                <w:rFonts w:ascii="Arial" w:cs="Arial" w:eastAsia="Arial" w:hAnsi="Arial"/>
                <w:sz w:val="20"/>
                <w:szCs w:val="20"/>
              </w:rPr>
            </w:pPr>
            <w:r w:rsidDel="00000000" w:rsidR="00000000" w:rsidRPr="00000000">
              <w:rPr>
                <w:rFonts w:ascii="Arial" w:cs="Arial" w:eastAsia="Arial" w:hAnsi="Arial"/>
                <w:sz w:val="20"/>
                <w:szCs w:val="20"/>
                <w:rtl w:val="0"/>
              </w:rPr>
              <w:t xml:space="preserve">3B2aiii - Cacao</w:t>
            </w:r>
          </w:p>
        </w:tc>
      </w:tr>
      <w:tr>
        <w:trPr>
          <w:cantSplit w:val="0"/>
          <w:trHeight w:val="381" w:hRule="atLeast"/>
          <w:tblHeader w:val="0"/>
        </w:trPr>
        <w:tc>
          <w:tcPr/>
          <w:p w:rsidR="00000000" w:rsidDel="00000000" w:rsidP="00000000" w:rsidRDefault="00000000" w:rsidRPr="00000000" w14:paraId="00000435">
            <w:pPr>
              <w:rPr>
                <w:rFonts w:ascii="Arial" w:cs="Arial" w:eastAsia="Arial" w:hAnsi="Arial"/>
                <w:sz w:val="20"/>
                <w:szCs w:val="20"/>
              </w:rPr>
            </w:pPr>
            <w:r w:rsidDel="00000000" w:rsidR="00000000" w:rsidRPr="00000000">
              <w:rPr>
                <w:rFonts w:ascii="Arial" w:cs="Arial" w:eastAsia="Arial" w:hAnsi="Arial"/>
                <w:sz w:val="20"/>
                <w:szCs w:val="20"/>
                <w:rtl w:val="0"/>
              </w:rPr>
              <w:t xml:space="preserve">FEDEGAN, ICA</w:t>
            </w:r>
          </w:p>
        </w:tc>
        <w:tc>
          <w:tcPr/>
          <w:p w:rsidR="00000000" w:rsidDel="00000000" w:rsidP="00000000" w:rsidRDefault="00000000" w:rsidRPr="00000000" w14:paraId="00000436">
            <w:pPr>
              <w:rPr>
                <w:rFonts w:ascii="Arial" w:cs="Arial" w:eastAsia="Arial" w:hAnsi="Arial"/>
                <w:sz w:val="20"/>
                <w:szCs w:val="20"/>
              </w:rPr>
            </w:pPr>
            <w:r w:rsidDel="00000000" w:rsidR="00000000" w:rsidRPr="00000000">
              <w:rPr>
                <w:rFonts w:ascii="Arial" w:cs="Arial" w:eastAsia="Arial" w:hAnsi="Arial"/>
                <w:sz w:val="20"/>
                <w:szCs w:val="20"/>
                <w:rtl w:val="0"/>
              </w:rPr>
              <w:t xml:space="preserve">Registro Único de Vacunación (RUV), Inventario Ganadero, Censo Pecuario Nacional</w:t>
            </w:r>
          </w:p>
        </w:tc>
        <w:tc>
          <w:tcPr/>
          <w:p w:rsidR="00000000" w:rsidDel="00000000" w:rsidP="00000000" w:rsidRDefault="00000000" w:rsidRPr="00000000" w14:paraId="00000437">
            <w:pPr>
              <w:rPr>
                <w:rFonts w:ascii="Arial" w:cs="Arial" w:eastAsia="Arial" w:hAnsi="Arial"/>
                <w:sz w:val="20"/>
                <w:szCs w:val="20"/>
              </w:rPr>
            </w:pPr>
            <w:r w:rsidDel="00000000" w:rsidR="00000000" w:rsidRPr="00000000">
              <w:rPr>
                <w:rFonts w:ascii="Arial" w:cs="Arial" w:eastAsia="Arial" w:hAnsi="Arial"/>
                <w:sz w:val="20"/>
                <w:szCs w:val="20"/>
                <w:rtl w:val="0"/>
              </w:rPr>
              <w:t xml:space="preserve">3A1a. Fermentación entérica: Bovinos</w:t>
            </w:r>
          </w:p>
          <w:p w:rsidR="00000000" w:rsidDel="00000000" w:rsidP="00000000" w:rsidRDefault="00000000" w:rsidRPr="00000000" w14:paraId="00000438">
            <w:pPr>
              <w:rPr>
                <w:rFonts w:ascii="Arial" w:cs="Arial" w:eastAsia="Arial" w:hAnsi="Arial"/>
                <w:sz w:val="20"/>
                <w:szCs w:val="20"/>
              </w:rPr>
            </w:pPr>
            <w:r w:rsidDel="00000000" w:rsidR="00000000" w:rsidRPr="00000000">
              <w:rPr>
                <w:rFonts w:ascii="Arial" w:cs="Arial" w:eastAsia="Arial" w:hAnsi="Arial"/>
                <w:sz w:val="20"/>
                <w:szCs w:val="20"/>
                <w:rtl w:val="0"/>
              </w:rPr>
              <w:t xml:space="preserve">3A2a. Gestión de estiércol: Bovinos</w:t>
            </w:r>
          </w:p>
          <w:p w:rsidR="00000000" w:rsidDel="00000000" w:rsidP="00000000" w:rsidRDefault="00000000" w:rsidRPr="00000000" w14:paraId="00000439">
            <w:pPr>
              <w:rPr>
                <w:rFonts w:ascii="Arial" w:cs="Arial" w:eastAsia="Arial" w:hAnsi="Arial"/>
                <w:sz w:val="20"/>
                <w:szCs w:val="20"/>
              </w:rPr>
            </w:pPr>
            <w:r w:rsidDel="00000000" w:rsidR="00000000" w:rsidRPr="00000000">
              <w:rPr>
                <w:rFonts w:ascii="Arial" w:cs="Arial" w:eastAsia="Arial" w:hAnsi="Arial"/>
                <w:sz w:val="20"/>
                <w:szCs w:val="20"/>
                <w:rtl w:val="0"/>
              </w:rPr>
              <w:t xml:space="preserve">3C6. Emisiones indirectas de N2O de gestión de estiércol</w:t>
            </w:r>
          </w:p>
        </w:tc>
      </w:tr>
      <w:tr>
        <w:trPr>
          <w:cantSplit w:val="0"/>
          <w:trHeight w:val="638" w:hRule="atLeast"/>
          <w:tblHeader w:val="0"/>
        </w:trPr>
        <w:tc>
          <w:tcPr/>
          <w:p w:rsidR="00000000" w:rsidDel="00000000" w:rsidP="00000000" w:rsidRDefault="00000000" w:rsidRPr="00000000" w14:paraId="0000043A">
            <w:pPr>
              <w:rPr>
                <w:rFonts w:ascii="Arial" w:cs="Arial" w:eastAsia="Arial" w:hAnsi="Arial"/>
                <w:sz w:val="20"/>
                <w:szCs w:val="20"/>
              </w:rPr>
            </w:pPr>
            <w:r w:rsidDel="00000000" w:rsidR="00000000" w:rsidRPr="00000000">
              <w:rPr>
                <w:rFonts w:ascii="Arial" w:cs="Arial" w:eastAsia="Arial" w:hAnsi="Arial"/>
                <w:sz w:val="20"/>
                <w:szCs w:val="20"/>
                <w:rtl w:val="0"/>
              </w:rPr>
              <w:t xml:space="preserve">FEDEGAN, ICA, FAOSTAT, DANE, FENAVI</w:t>
            </w:r>
          </w:p>
        </w:tc>
        <w:tc>
          <w:tcPr/>
          <w:p w:rsidR="00000000" w:rsidDel="00000000" w:rsidP="00000000" w:rsidRDefault="00000000" w:rsidRPr="00000000" w14:paraId="0000043B">
            <w:pPr>
              <w:rPr>
                <w:rFonts w:ascii="Arial" w:cs="Arial" w:eastAsia="Arial" w:hAnsi="Arial"/>
                <w:sz w:val="20"/>
                <w:szCs w:val="20"/>
              </w:rPr>
            </w:pPr>
            <w:r w:rsidDel="00000000" w:rsidR="00000000" w:rsidRPr="00000000">
              <w:rPr>
                <w:rFonts w:ascii="Arial" w:cs="Arial" w:eastAsia="Arial" w:hAnsi="Arial"/>
                <w:sz w:val="20"/>
                <w:szCs w:val="20"/>
                <w:rtl w:val="0"/>
              </w:rPr>
              <w:t xml:space="preserve">Registro Único de Vacunación (RUV), Inventario Ganadero, Censo Pecuario Nacional, Datos sobre alimentación y agricultura, Encuesta Nacional Agropecuaria, Información del recaudo de la cuota de fomento avícola.</w:t>
            </w:r>
          </w:p>
        </w:tc>
        <w:tc>
          <w:tcPr/>
          <w:p w:rsidR="00000000" w:rsidDel="00000000" w:rsidP="00000000" w:rsidRDefault="00000000" w:rsidRPr="00000000" w14:paraId="0000043C">
            <w:pPr>
              <w:rPr>
                <w:rFonts w:ascii="Arial" w:cs="Arial" w:eastAsia="Arial" w:hAnsi="Arial"/>
                <w:sz w:val="20"/>
                <w:szCs w:val="20"/>
              </w:rPr>
            </w:pPr>
            <w:r w:rsidDel="00000000" w:rsidR="00000000" w:rsidRPr="00000000">
              <w:rPr>
                <w:rFonts w:ascii="Arial" w:cs="Arial" w:eastAsia="Arial" w:hAnsi="Arial"/>
                <w:sz w:val="20"/>
                <w:szCs w:val="20"/>
                <w:rtl w:val="0"/>
              </w:rPr>
              <w:t xml:space="preserve">3A1a. Fermentación entérica: Otras especies</w:t>
            </w:r>
          </w:p>
          <w:p w:rsidR="00000000" w:rsidDel="00000000" w:rsidP="00000000" w:rsidRDefault="00000000" w:rsidRPr="00000000" w14:paraId="0000043D">
            <w:pPr>
              <w:rPr>
                <w:rFonts w:ascii="Arial" w:cs="Arial" w:eastAsia="Arial" w:hAnsi="Arial"/>
                <w:sz w:val="20"/>
                <w:szCs w:val="20"/>
              </w:rPr>
            </w:pPr>
            <w:r w:rsidDel="00000000" w:rsidR="00000000" w:rsidRPr="00000000">
              <w:rPr>
                <w:rFonts w:ascii="Arial" w:cs="Arial" w:eastAsia="Arial" w:hAnsi="Arial"/>
                <w:sz w:val="20"/>
                <w:szCs w:val="20"/>
                <w:rtl w:val="0"/>
              </w:rPr>
              <w:t xml:space="preserve">3A2a. Gestión de estiércol: Otras especies</w:t>
            </w:r>
          </w:p>
          <w:p w:rsidR="00000000" w:rsidDel="00000000" w:rsidP="00000000" w:rsidRDefault="00000000" w:rsidRPr="00000000" w14:paraId="0000043E">
            <w:pPr>
              <w:rPr>
                <w:rFonts w:ascii="Arial" w:cs="Arial" w:eastAsia="Arial" w:hAnsi="Arial"/>
                <w:sz w:val="20"/>
                <w:szCs w:val="20"/>
              </w:rPr>
            </w:pPr>
            <w:r w:rsidDel="00000000" w:rsidR="00000000" w:rsidRPr="00000000">
              <w:rPr>
                <w:rFonts w:ascii="Arial" w:cs="Arial" w:eastAsia="Arial" w:hAnsi="Arial"/>
                <w:sz w:val="20"/>
                <w:szCs w:val="20"/>
                <w:rtl w:val="0"/>
              </w:rPr>
              <w:t xml:space="preserve">3C6. Emisiones indirectas de N2O de gestión de estiércol</w:t>
            </w:r>
          </w:p>
        </w:tc>
      </w:tr>
      <w:tr>
        <w:trPr>
          <w:cantSplit w:val="0"/>
          <w:trHeight w:val="601" w:hRule="atLeast"/>
          <w:tblHeader w:val="0"/>
        </w:trPr>
        <w:tc>
          <w:tcPr/>
          <w:p w:rsidR="00000000" w:rsidDel="00000000" w:rsidP="00000000" w:rsidRDefault="00000000" w:rsidRPr="00000000" w14:paraId="0000043F">
            <w:pPr>
              <w:rPr>
                <w:rFonts w:ascii="Arial" w:cs="Arial" w:eastAsia="Arial" w:hAnsi="Arial"/>
                <w:sz w:val="20"/>
                <w:szCs w:val="20"/>
              </w:rPr>
            </w:pPr>
            <w:r w:rsidDel="00000000" w:rsidR="00000000" w:rsidRPr="00000000">
              <w:rPr>
                <w:rFonts w:ascii="Arial" w:cs="Arial" w:eastAsia="Arial" w:hAnsi="Arial"/>
                <w:sz w:val="20"/>
                <w:szCs w:val="20"/>
                <w:rtl w:val="0"/>
              </w:rPr>
              <w:t xml:space="preserve">FNC</w:t>
            </w:r>
          </w:p>
        </w:tc>
        <w:tc>
          <w:tcPr/>
          <w:p w:rsidR="00000000" w:rsidDel="00000000" w:rsidP="00000000" w:rsidRDefault="00000000" w:rsidRPr="00000000" w14:paraId="00000440">
            <w:pPr>
              <w:rPr>
                <w:rFonts w:ascii="Arial" w:cs="Arial" w:eastAsia="Arial" w:hAnsi="Arial"/>
                <w:sz w:val="20"/>
                <w:szCs w:val="20"/>
              </w:rPr>
            </w:pPr>
            <w:r w:rsidDel="00000000" w:rsidR="00000000" w:rsidRPr="00000000">
              <w:rPr>
                <w:rFonts w:ascii="Arial" w:cs="Arial" w:eastAsia="Arial" w:hAnsi="Arial"/>
                <w:sz w:val="20"/>
                <w:szCs w:val="20"/>
                <w:rtl w:val="0"/>
              </w:rPr>
              <w:t xml:space="preserve">Datos anuales de áreas de café sembradas en sombrío y exposición solar, NAMA Café</w:t>
            </w:r>
          </w:p>
        </w:tc>
        <w:tc>
          <w:tcPr/>
          <w:p w:rsidR="00000000" w:rsidDel="00000000" w:rsidP="00000000" w:rsidRDefault="00000000" w:rsidRPr="00000000" w14:paraId="00000441">
            <w:pPr>
              <w:rPr>
                <w:rFonts w:ascii="Arial" w:cs="Arial" w:eastAsia="Arial" w:hAnsi="Arial"/>
                <w:sz w:val="20"/>
                <w:szCs w:val="20"/>
              </w:rPr>
            </w:pPr>
            <w:r w:rsidDel="00000000" w:rsidR="00000000" w:rsidRPr="00000000">
              <w:rPr>
                <w:rFonts w:ascii="Arial" w:cs="Arial" w:eastAsia="Arial" w:hAnsi="Arial"/>
                <w:sz w:val="20"/>
                <w:szCs w:val="20"/>
                <w:rtl w:val="0"/>
              </w:rPr>
              <w:t xml:space="preserve">3B2ai - Cultivo de café</w:t>
            </w:r>
          </w:p>
        </w:tc>
      </w:tr>
      <w:tr>
        <w:trPr>
          <w:cantSplit w:val="0"/>
          <w:trHeight w:val="750" w:hRule="atLeast"/>
          <w:tblHeader w:val="0"/>
        </w:trPr>
        <w:tc>
          <w:tcPr/>
          <w:p w:rsidR="00000000" w:rsidDel="00000000" w:rsidP="00000000" w:rsidRDefault="00000000" w:rsidRPr="00000000" w14:paraId="00000442">
            <w:pPr>
              <w:rPr>
                <w:rFonts w:ascii="Arial" w:cs="Arial" w:eastAsia="Arial" w:hAnsi="Arial"/>
                <w:sz w:val="20"/>
                <w:szCs w:val="20"/>
              </w:rPr>
            </w:pPr>
            <w:r w:rsidDel="00000000" w:rsidR="00000000" w:rsidRPr="00000000">
              <w:rPr>
                <w:rFonts w:ascii="Arial" w:cs="Arial" w:eastAsia="Arial" w:hAnsi="Arial"/>
                <w:sz w:val="20"/>
                <w:szCs w:val="20"/>
                <w:rtl w:val="0"/>
              </w:rPr>
              <w:t xml:space="preserve">ICA, FEDEGAN; FAOSTAT; FENAVI</w:t>
            </w:r>
          </w:p>
        </w:tc>
        <w:tc>
          <w:tcPr/>
          <w:p w:rsidR="00000000" w:rsidDel="00000000" w:rsidP="00000000" w:rsidRDefault="00000000" w:rsidRPr="00000000" w14:paraId="00000443">
            <w:pPr>
              <w:rPr>
                <w:rFonts w:ascii="Arial" w:cs="Arial" w:eastAsia="Arial" w:hAnsi="Arial"/>
                <w:sz w:val="20"/>
                <w:szCs w:val="20"/>
              </w:rPr>
            </w:pPr>
            <w:r w:rsidDel="00000000" w:rsidR="00000000" w:rsidRPr="00000000">
              <w:rPr>
                <w:rFonts w:ascii="Arial" w:cs="Arial" w:eastAsia="Arial" w:hAnsi="Arial"/>
                <w:sz w:val="20"/>
                <w:szCs w:val="20"/>
                <w:rtl w:val="0"/>
              </w:rPr>
              <w:t xml:space="preserve">Registro Único de Vacunación - ICA, FEDEGAN; Estadísticas FAOSTAT; Censos pecuarios - IC</w:t>
            </w:r>
          </w:p>
        </w:tc>
        <w:tc>
          <w:tcPr/>
          <w:p w:rsidR="00000000" w:rsidDel="00000000" w:rsidP="00000000" w:rsidRDefault="00000000" w:rsidRPr="00000000" w14:paraId="00000444">
            <w:pPr>
              <w:rPr>
                <w:rFonts w:ascii="Arial" w:cs="Arial" w:eastAsia="Arial" w:hAnsi="Arial"/>
                <w:sz w:val="20"/>
                <w:szCs w:val="20"/>
              </w:rPr>
            </w:pPr>
            <w:r w:rsidDel="00000000" w:rsidR="00000000" w:rsidRPr="00000000">
              <w:rPr>
                <w:rFonts w:ascii="Arial" w:cs="Arial" w:eastAsia="Arial" w:hAnsi="Arial"/>
                <w:sz w:val="20"/>
                <w:szCs w:val="20"/>
                <w:rtl w:val="0"/>
              </w:rPr>
              <w:t xml:space="preserve">3C4b. Fertilizante orgánico</w:t>
            </w:r>
          </w:p>
          <w:p w:rsidR="00000000" w:rsidDel="00000000" w:rsidP="00000000" w:rsidRDefault="00000000" w:rsidRPr="00000000" w14:paraId="00000445">
            <w:pPr>
              <w:rPr>
                <w:rFonts w:ascii="Arial" w:cs="Arial" w:eastAsia="Arial" w:hAnsi="Arial"/>
                <w:sz w:val="20"/>
                <w:szCs w:val="20"/>
              </w:rPr>
            </w:pPr>
            <w:r w:rsidDel="00000000" w:rsidR="00000000" w:rsidRPr="00000000">
              <w:rPr>
                <w:rFonts w:ascii="Arial" w:cs="Arial" w:eastAsia="Arial" w:hAnsi="Arial"/>
                <w:sz w:val="20"/>
                <w:szCs w:val="20"/>
                <w:rtl w:val="0"/>
              </w:rPr>
              <w:t xml:space="preserve">3C5b. Volatilización FON</w:t>
            </w:r>
          </w:p>
          <w:p w:rsidR="00000000" w:rsidDel="00000000" w:rsidP="00000000" w:rsidRDefault="00000000" w:rsidRPr="00000000" w14:paraId="00000446">
            <w:pPr>
              <w:rPr>
                <w:rFonts w:ascii="Arial" w:cs="Arial" w:eastAsia="Arial" w:hAnsi="Arial"/>
                <w:sz w:val="20"/>
                <w:szCs w:val="20"/>
              </w:rPr>
            </w:pPr>
            <w:r w:rsidDel="00000000" w:rsidR="00000000" w:rsidRPr="00000000">
              <w:rPr>
                <w:rFonts w:ascii="Arial" w:cs="Arial" w:eastAsia="Arial" w:hAnsi="Arial"/>
                <w:sz w:val="20"/>
                <w:szCs w:val="20"/>
                <w:rtl w:val="0"/>
              </w:rPr>
              <w:t xml:space="preserve">3C5c. Volatilización FPRP</w:t>
            </w:r>
          </w:p>
          <w:p w:rsidR="00000000" w:rsidDel="00000000" w:rsidP="00000000" w:rsidRDefault="00000000" w:rsidRPr="00000000" w14:paraId="00000447">
            <w:pPr>
              <w:rPr>
                <w:rFonts w:ascii="Arial" w:cs="Arial" w:eastAsia="Arial" w:hAnsi="Arial"/>
                <w:sz w:val="20"/>
                <w:szCs w:val="20"/>
              </w:rPr>
            </w:pPr>
            <w:r w:rsidDel="00000000" w:rsidR="00000000" w:rsidRPr="00000000">
              <w:rPr>
                <w:rFonts w:ascii="Arial" w:cs="Arial" w:eastAsia="Arial" w:hAnsi="Arial"/>
                <w:sz w:val="20"/>
                <w:szCs w:val="20"/>
                <w:rtl w:val="0"/>
              </w:rPr>
              <w:t xml:space="preserve">3C5e. Lixiviación FON</w:t>
            </w:r>
          </w:p>
          <w:p w:rsidR="00000000" w:rsidDel="00000000" w:rsidP="00000000" w:rsidRDefault="00000000" w:rsidRPr="00000000" w14:paraId="00000448">
            <w:pPr>
              <w:rPr>
                <w:rFonts w:ascii="Arial" w:cs="Arial" w:eastAsia="Arial" w:hAnsi="Arial"/>
                <w:sz w:val="20"/>
                <w:szCs w:val="20"/>
              </w:rPr>
            </w:pPr>
            <w:r w:rsidDel="00000000" w:rsidR="00000000" w:rsidRPr="00000000">
              <w:rPr>
                <w:rFonts w:ascii="Arial" w:cs="Arial" w:eastAsia="Arial" w:hAnsi="Arial"/>
                <w:sz w:val="20"/>
                <w:szCs w:val="20"/>
                <w:rtl w:val="0"/>
              </w:rPr>
              <w:t xml:space="preserve">3C5h. Lixiviación FPRP</w:t>
            </w:r>
          </w:p>
          <w:p w:rsidR="00000000" w:rsidDel="00000000" w:rsidP="00000000" w:rsidRDefault="00000000" w:rsidRPr="00000000" w14:paraId="00000449">
            <w:pPr>
              <w:rPr>
                <w:rFonts w:ascii="Arial" w:cs="Arial" w:eastAsia="Arial" w:hAnsi="Arial"/>
                <w:sz w:val="20"/>
                <w:szCs w:val="20"/>
              </w:rPr>
            </w:pPr>
            <w:r w:rsidDel="00000000" w:rsidR="00000000" w:rsidRPr="00000000">
              <w:rPr>
                <w:rFonts w:ascii="Arial" w:cs="Arial" w:eastAsia="Arial" w:hAnsi="Arial"/>
                <w:sz w:val="20"/>
                <w:szCs w:val="20"/>
                <w:rtl w:val="0"/>
              </w:rPr>
              <w:t xml:space="preserve">3C4f. Orina y estiércol de animales en pastoreo</w:t>
            </w:r>
          </w:p>
        </w:tc>
      </w:tr>
      <w:tr>
        <w:trPr>
          <w:cantSplit w:val="0"/>
          <w:trHeight w:val="574" w:hRule="atLeast"/>
          <w:tblHeader w:val="0"/>
        </w:trPr>
        <w:tc>
          <w:tcPr/>
          <w:p w:rsidR="00000000" w:rsidDel="00000000" w:rsidP="00000000" w:rsidRDefault="00000000" w:rsidRPr="00000000" w14:paraId="0000044A">
            <w:pPr>
              <w:rPr>
                <w:rFonts w:ascii="Arial" w:cs="Arial" w:eastAsia="Arial" w:hAnsi="Arial"/>
                <w:sz w:val="20"/>
                <w:szCs w:val="20"/>
              </w:rPr>
            </w:pPr>
            <w:r w:rsidDel="00000000" w:rsidR="00000000" w:rsidRPr="00000000">
              <w:rPr>
                <w:rFonts w:ascii="Arial" w:cs="Arial" w:eastAsia="Arial" w:hAnsi="Arial"/>
                <w:sz w:val="20"/>
                <w:szCs w:val="20"/>
                <w:rtl w:val="0"/>
              </w:rPr>
              <w:t xml:space="preserve">IGAC, IDEAM</w:t>
            </w:r>
          </w:p>
        </w:tc>
        <w:tc>
          <w:tcPr/>
          <w:p w:rsidR="00000000" w:rsidDel="00000000" w:rsidP="00000000" w:rsidRDefault="00000000" w:rsidRPr="00000000" w14:paraId="0000044B">
            <w:pPr>
              <w:rPr>
                <w:rFonts w:ascii="Arial" w:cs="Arial" w:eastAsia="Arial" w:hAnsi="Arial"/>
                <w:sz w:val="20"/>
                <w:szCs w:val="20"/>
              </w:rPr>
            </w:pPr>
            <w:r w:rsidDel="00000000" w:rsidR="00000000" w:rsidRPr="00000000">
              <w:rPr>
                <w:rFonts w:ascii="Arial" w:cs="Arial" w:eastAsia="Arial" w:hAnsi="Arial"/>
                <w:sz w:val="20"/>
                <w:szCs w:val="20"/>
                <w:rtl w:val="0"/>
              </w:rPr>
              <w:t xml:space="preserve">Mapa Digital de Geopedología en Colombia 2018 – IGAC; Mapa de Ecosistemas Continentales, Costeros y Marinos de Colombia, Escala 1:100.000, versión 2.1, Año 2017</w:t>
            </w:r>
          </w:p>
        </w:tc>
        <w:tc>
          <w:tcPr/>
          <w:p w:rsidR="00000000" w:rsidDel="00000000" w:rsidP="00000000" w:rsidRDefault="00000000" w:rsidRPr="00000000" w14:paraId="0000044C">
            <w:pPr>
              <w:rPr>
                <w:rFonts w:ascii="Arial" w:cs="Arial" w:eastAsia="Arial" w:hAnsi="Arial"/>
                <w:sz w:val="20"/>
                <w:szCs w:val="20"/>
              </w:rPr>
            </w:pPr>
            <w:r w:rsidDel="00000000" w:rsidR="00000000" w:rsidRPr="00000000">
              <w:rPr>
                <w:rFonts w:ascii="Arial" w:cs="Arial" w:eastAsia="Arial" w:hAnsi="Arial"/>
                <w:sz w:val="20"/>
                <w:szCs w:val="20"/>
                <w:rtl w:val="0"/>
              </w:rPr>
              <w:t xml:space="preserve">3B1ai. Tierras forestales que permanecen como tales (suelos orgánicos drenados)</w:t>
            </w:r>
          </w:p>
          <w:p w:rsidR="00000000" w:rsidDel="00000000" w:rsidP="00000000" w:rsidRDefault="00000000" w:rsidRPr="00000000" w14:paraId="0000044D">
            <w:pPr>
              <w:rPr>
                <w:rFonts w:ascii="Arial" w:cs="Arial" w:eastAsia="Arial" w:hAnsi="Arial"/>
                <w:sz w:val="20"/>
                <w:szCs w:val="20"/>
              </w:rPr>
            </w:pPr>
            <w:r w:rsidDel="00000000" w:rsidR="00000000" w:rsidRPr="00000000">
              <w:rPr>
                <w:rFonts w:ascii="Arial" w:cs="Arial" w:eastAsia="Arial" w:hAnsi="Arial"/>
                <w:sz w:val="20"/>
                <w:szCs w:val="20"/>
                <w:rtl w:val="0"/>
              </w:rPr>
              <w:t xml:space="preserve">3B1aiii Tierras forestales que permanecen como tales (Suelos orgánicos drenados)</w:t>
            </w:r>
          </w:p>
          <w:p w:rsidR="00000000" w:rsidDel="00000000" w:rsidP="00000000" w:rsidRDefault="00000000" w:rsidRPr="00000000" w14:paraId="0000044E">
            <w:pPr>
              <w:rPr>
                <w:rFonts w:ascii="Arial" w:cs="Arial" w:eastAsia="Arial" w:hAnsi="Arial"/>
                <w:sz w:val="20"/>
                <w:szCs w:val="20"/>
              </w:rPr>
            </w:pPr>
            <w:r w:rsidDel="00000000" w:rsidR="00000000" w:rsidRPr="00000000">
              <w:rPr>
                <w:rFonts w:ascii="Arial" w:cs="Arial" w:eastAsia="Arial" w:hAnsi="Arial"/>
                <w:sz w:val="20"/>
                <w:szCs w:val="20"/>
                <w:rtl w:val="0"/>
              </w:rPr>
              <w:t xml:space="preserve">3B2axi - Otro (suelos orgánicos drenados)</w:t>
            </w:r>
          </w:p>
          <w:p w:rsidR="00000000" w:rsidDel="00000000" w:rsidP="00000000" w:rsidRDefault="00000000" w:rsidRPr="00000000" w14:paraId="0000044F">
            <w:pPr>
              <w:rPr>
                <w:rFonts w:ascii="Arial" w:cs="Arial" w:eastAsia="Arial" w:hAnsi="Arial"/>
                <w:sz w:val="20"/>
                <w:szCs w:val="20"/>
              </w:rPr>
            </w:pPr>
            <w:r w:rsidDel="00000000" w:rsidR="00000000" w:rsidRPr="00000000">
              <w:rPr>
                <w:rFonts w:ascii="Arial" w:cs="Arial" w:eastAsia="Arial" w:hAnsi="Arial"/>
                <w:sz w:val="20"/>
                <w:szCs w:val="20"/>
                <w:rtl w:val="0"/>
              </w:rPr>
              <w:t xml:space="preserve">3B3a Pastizales que permanecen como tales (suelos orgánicos drenados)</w:t>
            </w:r>
          </w:p>
        </w:tc>
      </w:tr>
      <w:tr>
        <w:trPr>
          <w:cantSplit w:val="0"/>
          <w:trHeight w:val="959" w:hRule="atLeast"/>
          <w:tblHeader w:val="0"/>
        </w:trPr>
        <w:tc>
          <w:tcPr/>
          <w:p w:rsidR="00000000" w:rsidDel="00000000" w:rsidP="00000000" w:rsidRDefault="00000000" w:rsidRPr="00000000" w14:paraId="00000450">
            <w:pPr>
              <w:rPr>
                <w:rFonts w:ascii="Arial" w:cs="Arial" w:eastAsia="Arial" w:hAnsi="Arial"/>
                <w:sz w:val="20"/>
                <w:szCs w:val="20"/>
              </w:rPr>
            </w:pPr>
            <w:r w:rsidDel="00000000" w:rsidR="00000000" w:rsidRPr="00000000">
              <w:rPr>
                <w:rFonts w:ascii="Arial" w:cs="Arial" w:eastAsia="Arial" w:hAnsi="Arial"/>
                <w:sz w:val="20"/>
                <w:szCs w:val="20"/>
                <w:rtl w:val="0"/>
              </w:rPr>
              <w:t xml:space="preserve">IGAC/NCAR (National Center of Atmospheric Research)</w:t>
            </w:r>
          </w:p>
        </w:tc>
        <w:tc>
          <w:tcPr/>
          <w:p w:rsidR="00000000" w:rsidDel="00000000" w:rsidP="00000000" w:rsidRDefault="00000000" w:rsidRPr="00000000" w14:paraId="00000451">
            <w:pPr>
              <w:rPr>
                <w:rFonts w:ascii="Arial" w:cs="Arial" w:eastAsia="Arial" w:hAnsi="Arial"/>
                <w:sz w:val="20"/>
                <w:szCs w:val="20"/>
              </w:rPr>
            </w:pPr>
            <w:r w:rsidDel="00000000" w:rsidR="00000000" w:rsidRPr="00000000">
              <w:rPr>
                <w:rFonts w:ascii="Arial" w:cs="Arial" w:eastAsia="Arial" w:hAnsi="Arial"/>
                <w:sz w:val="20"/>
                <w:szCs w:val="20"/>
                <w:rtl w:val="0"/>
              </w:rPr>
              <w:t xml:space="preserve">Mapas tipo de suelo/WPS V4 Geographical Static Data</w:t>
            </w:r>
          </w:p>
        </w:tc>
        <w:tc>
          <w:tcPr/>
          <w:p w:rsidR="00000000" w:rsidDel="00000000" w:rsidP="00000000" w:rsidRDefault="00000000" w:rsidRPr="00000000" w14:paraId="00000452">
            <w:pPr>
              <w:rPr>
                <w:rFonts w:ascii="Arial" w:cs="Arial" w:eastAsia="Arial" w:hAnsi="Arial"/>
                <w:sz w:val="20"/>
                <w:szCs w:val="20"/>
              </w:rPr>
            </w:pPr>
            <w:r w:rsidDel="00000000" w:rsidR="00000000" w:rsidRPr="00000000">
              <w:rPr>
                <w:rFonts w:ascii="Arial" w:cs="Arial" w:eastAsia="Arial" w:hAnsi="Arial"/>
                <w:sz w:val="20"/>
                <w:szCs w:val="20"/>
                <w:rtl w:val="0"/>
              </w:rPr>
              <w:t xml:space="preserve">2A5b Construcción y demolición (EMEP/EEA 2019)</w:t>
            </w:r>
          </w:p>
        </w:tc>
      </w:tr>
      <w:tr>
        <w:trPr>
          <w:cantSplit w:val="0"/>
          <w:trHeight w:val="500" w:hRule="atLeast"/>
          <w:tblHeader w:val="0"/>
        </w:trPr>
        <w:tc>
          <w:tcPr>
            <w:vMerge w:val="restart"/>
          </w:tcPr>
          <w:p w:rsidR="00000000" w:rsidDel="00000000" w:rsidP="00000000" w:rsidRDefault="00000000" w:rsidRPr="00000000" w14:paraId="00000453">
            <w:pPr>
              <w:rPr>
                <w:rFonts w:ascii="Arial" w:cs="Arial" w:eastAsia="Arial" w:hAnsi="Arial"/>
                <w:sz w:val="20"/>
                <w:szCs w:val="20"/>
              </w:rPr>
            </w:pPr>
            <w:r w:rsidDel="00000000" w:rsidR="00000000" w:rsidRPr="00000000">
              <w:rPr>
                <w:rFonts w:ascii="Arial" w:cs="Arial" w:eastAsia="Arial" w:hAnsi="Arial"/>
                <w:sz w:val="20"/>
                <w:szCs w:val="20"/>
                <w:rtl w:val="0"/>
              </w:rPr>
              <w:t xml:space="preserve">IGAC; SMByC</w:t>
            </w:r>
          </w:p>
        </w:tc>
        <w:tc>
          <w:tcPr/>
          <w:p w:rsidR="00000000" w:rsidDel="00000000" w:rsidP="00000000" w:rsidRDefault="00000000" w:rsidRPr="00000000" w14:paraId="00000454">
            <w:pPr>
              <w:rPr>
                <w:rFonts w:ascii="Arial" w:cs="Arial" w:eastAsia="Arial" w:hAnsi="Arial"/>
                <w:sz w:val="20"/>
                <w:szCs w:val="20"/>
              </w:rPr>
            </w:pPr>
            <w:r w:rsidDel="00000000" w:rsidR="00000000" w:rsidRPr="00000000">
              <w:rPr>
                <w:rFonts w:ascii="Arial" w:cs="Arial" w:eastAsia="Arial" w:hAnsi="Arial"/>
                <w:sz w:val="20"/>
                <w:szCs w:val="20"/>
                <w:rtl w:val="0"/>
              </w:rPr>
              <w:t xml:space="preserve">Mapa Digital de Geopedología en Colombia 2018; Delta de carbono</w:t>
            </w:r>
          </w:p>
        </w:tc>
        <w:tc>
          <w:tcPr/>
          <w:p w:rsidR="00000000" w:rsidDel="00000000" w:rsidP="00000000" w:rsidRDefault="00000000" w:rsidRPr="00000000" w14:paraId="00000455">
            <w:pPr>
              <w:rPr>
                <w:rFonts w:ascii="Arial" w:cs="Arial" w:eastAsia="Arial" w:hAnsi="Arial"/>
                <w:sz w:val="20"/>
                <w:szCs w:val="20"/>
              </w:rPr>
            </w:pPr>
            <w:r w:rsidDel="00000000" w:rsidR="00000000" w:rsidRPr="00000000">
              <w:rPr>
                <w:rFonts w:ascii="Arial" w:cs="Arial" w:eastAsia="Arial" w:hAnsi="Arial"/>
                <w:sz w:val="20"/>
                <w:szCs w:val="20"/>
                <w:rtl w:val="0"/>
              </w:rPr>
              <w:t xml:space="preserve">3C5g. Lixiviación FSOM</w:t>
            </w:r>
          </w:p>
        </w:tc>
      </w:tr>
      <w:tr>
        <w:trPr>
          <w:cantSplit w:val="0"/>
          <w:trHeight w:val="1098" w:hRule="atLeast"/>
          <w:tblHeader w:val="0"/>
        </w:trPr>
        <w:tc>
          <w:tcPr>
            <w:vMerge w:val="continue"/>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57">
            <w:pPr>
              <w:rPr>
                <w:rFonts w:ascii="Arial" w:cs="Arial" w:eastAsia="Arial" w:hAnsi="Arial"/>
                <w:sz w:val="20"/>
                <w:szCs w:val="20"/>
              </w:rPr>
            </w:pPr>
            <w:r w:rsidDel="00000000" w:rsidR="00000000" w:rsidRPr="00000000">
              <w:rPr>
                <w:rFonts w:ascii="Arial" w:cs="Arial" w:eastAsia="Arial" w:hAnsi="Arial"/>
                <w:sz w:val="20"/>
                <w:szCs w:val="20"/>
                <w:rtl w:val="0"/>
              </w:rPr>
              <w:t xml:space="preserve">Mapa Digital de Geopedología en Colombia 2018 - IGAC; Mapa de Ecosistemas Continentales, Costeros y Marinos de Colombia. Escala 1:100.000. versión 2.1. Año 2017</w:t>
            </w:r>
          </w:p>
        </w:tc>
        <w:tc>
          <w:tcPr/>
          <w:p w:rsidR="00000000" w:rsidDel="00000000" w:rsidP="00000000" w:rsidRDefault="00000000" w:rsidRPr="00000000" w14:paraId="00000458">
            <w:pPr>
              <w:rPr>
                <w:rFonts w:ascii="Arial" w:cs="Arial" w:eastAsia="Arial" w:hAnsi="Arial"/>
                <w:sz w:val="20"/>
                <w:szCs w:val="20"/>
              </w:rPr>
            </w:pPr>
            <w:r w:rsidDel="00000000" w:rsidR="00000000" w:rsidRPr="00000000">
              <w:rPr>
                <w:rFonts w:ascii="Arial" w:cs="Arial" w:eastAsia="Arial" w:hAnsi="Arial"/>
                <w:sz w:val="20"/>
                <w:szCs w:val="20"/>
                <w:rtl w:val="0"/>
              </w:rPr>
              <w:t xml:space="preserve">3C4e. Gestión de histosoles</w:t>
            </w:r>
          </w:p>
        </w:tc>
      </w:tr>
      <w:tr>
        <w:trPr>
          <w:cantSplit w:val="0"/>
          <w:trHeight w:val="500" w:hRule="atLeast"/>
          <w:tblHeader w:val="0"/>
        </w:trPr>
        <w:tc>
          <w:tcPr/>
          <w:p w:rsidR="00000000" w:rsidDel="00000000" w:rsidP="00000000" w:rsidRDefault="00000000" w:rsidRPr="00000000" w14:paraId="00000459">
            <w:pPr>
              <w:rPr>
                <w:rFonts w:ascii="Arial" w:cs="Arial" w:eastAsia="Arial" w:hAnsi="Arial"/>
                <w:sz w:val="20"/>
                <w:szCs w:val="20"/>
              </w:rPr>
            </w:pPr>
            <w:r w:rsidDel="00000000" w:rsidR="00000000" w:rsidRPr="00000000">
              <w:rPr>
                <w:rFonts w:ascii="Arial" w:cs="Arial" w:eastAsia="Arial" w:hAnsi="Arial"/>
                <w:sz w:val="20"/>
                <w:szCs w:val="20"/>
                <w:rtl w:val="0"/>
              </w:rPr>
              <w:t xml:space="preserve">IGAC; SMByC;IDEAM</w:t>
            </w:r>
          </w:p>
        </w:tc>
        <w:tc>
          <w:tcPr/>
          <w:p w:rsidR="00000000" w:rsidDel="00000000" w:rsidP="00000000" w:rsidRDefault="00000000" w:rsidRPr="00000000" w14:paraId="0000045A">
            <w:pPr>
              <w:rPr>
                <w:rFonts w:ascii="Arial" w:cs="Arial" w:eastAsia="Arial" w:hAnsi="Arial"/>
                <w:sz w:val="20"/>
                <w:szCs w:val="20"/>
              </w:rPr>
            </w:pPr>
            <w:r w:rsidDel="00000000" w:rsidR="00000000" w:rsidRPr="00000000">
              <w:rPr>
                <w:rFonts w:ascii="Arial" w:cs="Arial" w:eastAsia="Arial" w:hAnsi="Arial"/>
                <w:sz w:val="20"/>
                <w:szCs w:val="20"/>
                <w:rtl w:val="0"/>
              </w:rPr>
              <w:t xml:space="preserve">Mapa Digital de Geopedología en Colombia 2018; Delta de carbono.</w:t>
            </w:r>
          </w:p>
        </w:tc>
        <w:tc>
          <w:tcPr/>
          <w:p w:rsidR="00000000" w:rsidDel="00000000" w:rsidP="00000000" w:rsidRDefault="00000000" w:rsidRPr="00000000" w14:paraId="0000045B">
            <w:pPr>
              <w:rPr>
                <w:rFonts w:ascii="Arial" w:cs="Arial" w:eastAsia="Arial" w:hAnsi="Arial"/>
                <w:sz w:val="20"/>
                <w:szCs w:val="20"/>
              </w:rPr>
            </w:pPr>
            <w:r w:rsidDel="00000000" w:rsidR="00000000" w:rsidRPr="00000000">
              <w:rPr>
                <w:rFonts w:ascii="Arial" w:cs="Arial" w:eastAsia="Arial" w:hAnsi="Arial"/>
                <w:sz w:val="20"/>
                <w:szCs w:val="20"/>
                <w:rtl w:val="0"/>
              </w:rPr>
              <w:t xml:space="preserve">3C4d. Mineralización por cambio en el uso</w:t>
            </w:r>
          </w:p>
        </w:tc>
      </w:tr>
      <w:tr>
        <w:trPr>
          <w:cantSplit w:val="0"/>
          <w:trHeight w:val="67" w:hRule="atLeast"/>
          <w:tblHeader w:val="0"/>
        </w:trPr>
        <w:tc>
          <w:tcPr/>
          <w:p w:rsidR="00000000" w:rsidDel="00000000" w:rsidP="00000000" w:rsidRDefault="00000000" w:rsidRPr="00000000" w14:paraId="0000045C">
            <w:pPr>
              <w:rPr>
                <w:rFonts w:ascii="Arial" w:cs="Arial" w:eastAsia="Arial" w:hAnsi="Arial"/>
                <w:sz w:val="20"/>
                <w:szCs w:val="20"/>
              </w:rPr>
            </w:pPr>
            <w:r w:rsidDel="00000000" w:rsidR="00000000" w:rsidRPr="00000000">
              <w:rPr>
                <w:rFonts w:ascii="Arial" w:cs="Arial" w:eastAsia="Arial" w:hAnsi="Arial"/>
                <w:sz w:val="20"/>
                <w:szCs w:val="20"/>
                <w:rtl w:val="0"/>
              </w:rPr>
              <w:t xml:space="preserve">MADR</w:t>
            </w:r>
          </w:p>
          <w:p w:rsidR="00000000" w:rsidDel="00000000" w:rsidP="00000000" w:rsidRDefault="00000000" w:rsidRPr="00000000" w14:paraId="0000045D">
            <w:pPr>
              <w:rPr>
                <w:rFonts w:ascii="Arial" w:cs="Arial" w:eastAsia="Arial" w:hAnsi="Arial"/>
                <w:sz w:val="20"/>
                <w:szCs w:val="20"/>
              </w:rPr>
            </w:pPr>
            <w:r w:rsidDel="00000000" w:rsidR="00000000" w:rsidRPr="00000000">
              <w:rPr>
                <w:rFonts w:ascii="Arial" w:cs="Arial" w:eastAsia="Arial" w:hAnsi="Arial"/>
                <w:sz w:val="20"/>
                <w:szCs w:val="20"/>
                <w:rtl w:val="0"/>
              </w:rPr>
              <w:t xml:space="preserve">MADR</w:t>
            </w:r>
          </w:p>
        </w:tc>
        <w:tc>
          <w:tcPr/>
          <w:p w:rsidR="00000000" w:rsidDel="00000000" w:rsidP="00000000" w:rsidRDefault="00000000" w:rsidRPr="00000000" w14:paraId="0000045E">
            <w:pPr>
              <w:rPr>
                <w:rFonts w:ascii="Arial" w:cs="Arial" w:eastAsia="Arial" w:hAnsi="Arial"/>
                <w:sz w:val="20"/>
                <w:szCs w:val="20"/>
              </w:rPr>
            </w:pPr>
            <w:r w:rsidDel="00000000" w:rsidR="00000000" w:rsidRPr="00000000">
              <w:rPr>
                <w:rFonts w:ascii="Arial" w:cs="Arial" w:eastAsia="Arial" w:hAnsi="Arial"/>
                <w:sz w:val="20"/>
                <w:szCs w:val="20"/>
                <w:rtl w:val="0"/>
              </w:rPr>
              <w:t xml:space="preserve">Anuario Estadístico del Sector Agropecuario y Evaluaciones Agropecuarias Municipales; árbol de decisiones para el uso de la cal</w:t>
            </w:r>
          </w:p>
        </w:tc>
        <w:tc>
          <w:tcPr/>
          <w:p w:rsidR="00000000" w:rsidDel="00000000" w:rsidP="00000000" w:rsidRDefault="00000000" w:rsidRPr="00000000" w14:paraId="0000045F">
            <w:pPr>
              <w:rPr>
                <w:rFonts w:ascii="Arial" w:cs="Arial" w:eastAsia="Arial" w:hAnsi="Arial"/>
                <w:sz w:val="20"/>
                <w:szCs w:val="20"/>
              </w:rPr>
            </w:pPr>
            <w:r w:rsidDel="00000000" w:rsidR="00000000" w:rsidRPr="00000000">
              <w:rPr>
                <w:rFonts w:ascii="Arial" w:cs="Arial" w:eastAsia="Arial" w:hAnsi="Arial"/>
                <w:sz w:val="20"/>
                <w:szCs w:val="20"/>
                <w:rtl w:val="0"/>
              </w:rPr>
              <w:t xml:space="preserve">3C4c. Residuos de cultivo (FCR)</w:t>
            </w:r>
          </w:p>
          <w:p w:rsidR="00000000" w:rsidDel="00000000" w:rsidP="00000000" w:rsidRDefault="00000000" w:rsidRPr="00000000" w14:paraId="00000460">
            <w:pPr>
              <w:rPr>
                <w:rFonts w:ascii="Arial" w:cs="Arial" w:eastAsia="Arial" w:hAnsi="Arial"/>
                <w:sz w:val="20"/>
                <w:szCs w:val="20"/>
              </w:rPr>
            </w:pPr>
            <w:r w:rsidDel="00000000" w:rsidR="00000000" w:rsidRPr="00000000">
              <w:rPr>
                <w:rFonts w:ascii="Arial" w:cs="Arial" w:eastAsia="Arial" w:hAnsi="Arial"/>
                <w:sz w:val="20"/>
                <w:szCs w:val="20"/>
                <w:rtl w:val="0"/>
              </w:rPr>
              <w:t xml:space="preserve">3C5f. Lixiviación FCR</w:t>
            </w:r>
          </w:p>
        </w:tc>
      </w:tr>
      <w:tr>
        <w:trPr>
          <w:cantSplit w:val="0"/>
          <w:trHeight w:val="1126" w:hRule="atLeast"/>
          <w:tblHeader w:val="0"/>
        </w:trPr>
        <w:tc>
          <w:tcPr/>
          <w:p w:rsidR="00000000" w:rsidDel="00000000" w:rsidP="00000000" w:rsidRDefault="00000000" w:rsidRPr="00000000" w14:paraId="00000461">
            <w:pPr>
              <w:rPr>
                <w:rFonts w:ascii="Arial" w:cs="Arial" w:eastAsia="Arial" w:hAnsi="Arial"/>
                <w:sz w:val="20"/>
                <w:szCs w:val="20"/>
              </w:rPr>
            </w:pPr>
            <w:r w:rsidDel="00000000" w:rsidR="00000000" w:rsidRPr="00000000">
              <w:rPr>
                <w:rFonts w:ascii="Arial" w:cs="Arial" w:eastAsia="Arial" w:hAnsi="Arial"/>
                <w:sz w:val="20"/>
                <w:szCs w:val="20"/>
                <w:rtl w:val="0"/>
              </w:rPr>
              <w:t xml:space="preserve">MADR - FEDEGAN (NAMA Ganadería), TNC</w:t>
            </w:r>
          </w:p>
        </w:tc>
        <w:tc>
          <w:tcPr/>
          <w:p w:rsidR="00000000" w:rsidDel="00000000" w:rsidP="00000000" w:rsidRDefault="00000000" w:rsidRPr="00000000" w14:paraId="00000462">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anuales de implementación de áreas de sistemas silvopastoriles por departamento; contenido de carbono en sistemas silvopastoriles por región</w:t>
            </w:r>
          </w:p>
        </w:tc>
        <w:tc>
          <w:tcPr/>
          <w:p w:rsidR="00000000" w:rsidDel="00000000" w:rsidP="00000000" w:rsidRDefault="00000000" w:rsidRPr="00000000" w14:paraId="00000463">
            <w:pPr>
              <w:rPr>
                <w:rFonts w:ascii="Arial" w:cs="Arial" w:eastAsia="Arial" w:hAnsi="Arial"/>
                <w:sz w:val="20"/>
                <w:szCs w:val="20"/>
              </w:rPr>
            </w:pPr>
            <w:r w:rsidDel="00000000" w:rsidR="00000000" w:rsidRPr="00000000">
              <w:rPr>
                <w:rFonts w:ascii="Arial" w:cs="Arial" w:eastAsia="Arial" w:hAnsi="Arial"/>
                <w:sz w:val="20"/>
                <w:szCs w:val="20"/>
                <w:rtl w:val="0"/>
              </w:rPr>
              <w:t xml:space="preserve">3B3a Pastizales que permanecen como tales (biomasa sistemas silvopastoriles)</w:t>
            </w:r>
          </w:p>
        </w:tc>
      </w:tr>
      <w:tr>
        <w:trPr>
          <w:cantSplit w:val="0"/>
          <w:trHeight w:val="500" w:hRule="atLeast"/>
          <w:tblHeader w:val="0"/>
        </w:trPr>
        <w:tc>
          <w:tcPr/>
          <w:p w:rsidR="00000000" w:rsidDel="00000000" w:rsidP="00000000" w:rsidRDefault="00000000" w:rsidRPr="00000000" w14:paraId="00000464">
            <w:pPr>
              <w:rPr>
                <w:rFonts w:ascii="Arial" w:cs="Arial" w:eastAsia="Arial" w:hAnsi="Arial"/>
                <w:sz w:val="20"/>
                <w:szCs w:val="20"/>
              </w:rPr>
            </w:pPr>
            <w:r w:rsidDel="00000000" w:rsidR="00000000" w:rsidRPr="00000000">
              <w:rPr>
                <w:rFonts w:ascii="Arial" w:cs="Arial" w:eastAsia="Arial" w:hAnsi="Arial"/>
                <w:sz w:val="20"/>
                <w:szCs w:val="20"/>
                <w:rtl w:val="0"/>
              </w:rPr>
              <w:t xml:space="preserve">MADR – FEDEARROZ</w:t>
            </w:r>
          </w:p>
        </w:tc>
        <w:tc>
          <w:tcPr/>
          <w:p w:rsidR="00000000" w:rsidDel="00000000" w:rsidP="00000000" w:rsidRDefault="00000000" w:rsidRPr="00000000" w14:paraId="00000465">
            <w:pPr>
              <w:rPr>
                <w:rFonts w:ascii="Arial" w:cs="Arial" w:eastAsia="Arial" w:hAnsi="Arial"/>
                <w:sz w:val="20"/>
                <w:szCs w:val="20"/>
              </w:rPr>
            </w:pPr>
            <w:r w:rsidDel="00000000" w:rsidR="00000000" w:rsidRPr="00000000">
              <w:rPr>
                <w:rFonts w:ascii="Arial" w:cs="Arial" w:eastAsia="Arial" w:hAnsi="Arial"/>
                <w:sz w:val="20"/>
                <w:szCs w:val="20"/>
                <w:rtl w:val="0"/>
              </w:rPr>
              <w:t xml:space="preserve">Áreas cosechadas de arroz, Periodo del cultivo</w:t>
            </w:r>
          </w:p>
        </w:tc>
        <w:tc>
          <w:tcPr/>
          <w:p w:rsidR="00000000" w:rsidDel="00000000" w:rsidP="00000000" w:rsidRDefault="00000000" w:rsidRPr="00000000" w14:paraId="00000466">
            <w:pPr>
              <w:rPr>
                <w:rFonts w:ascii="Arial" w:cs="Arial" w:eastAsia="Arial" w:hAnsi="Arial"/>
                <w:sz w:val="20"/>
                <w:szCs w:val="20"/>
              </w:rPr>
            </w:pPr>
            <w:r w:rsidDel="00000000" w:rsidR="00000000" w:rsidRPr="00000000">
              <w:rPr>
                <w:rFonts w:ascii="Arial" w:cs="Arial" w:eastAsia="Arial" w:hAnsi="Arial"/>
                <w:sz w:val="20"/>
                <w:szCs w:val="20"/>
                <w:rtl w:val="0"/>
              </w:rPr>
              <w:t xml:space="preserve">3C7. Cultivo de arroz</w:t>
            </w:r>
          </w:p>
        </w:tc>
      </w:tr>
      <w:tr>
        <w:trPr>
          <w:cantSplit w:val="0"/>
          <w:trHeight w:val="1282" w:hRule="atLeast"/>
          <w:tblHeader w:val="0"/>
        </w:trPr>
        <w:tc>
          <w:tcPr/>
          <w:p w:rsidR="00000000" w:rsidDel="00000000" w:rsidP="00000000" w:rsidRDefault="00000000" w:rsidRPr="00000000" w14:paraId="00000467">
            <w:pPr>
              <w:rPr>
                <w:rFonts w:ascii="Arial" w:cs="Arial" w:eastAsia="Arial" w:hAnsi="Arial"/>
                <w:sz w:val="20"/>
                <w:szCs w:val="20"/>
              </w:rPr>
            </w:pPr>
            <w:r w:rsidDel="00000000" w:rsidR="00000000" w:rsidRPr="00000000">
              <w:rPr>
                <w:rFonts w:ascii="Arial" w:cs="Arial" w:eastAsia="Arial" w:hAnsi="Arial"/>
                <w:sz w:val="20"/>
                <w:szCs w:val="20"/>
                <w:rtl w:val="0"/>
              </w:rPr>
              <w:t xml:space="preserve">MADR, ICA, U. Tolima</w:t>
            </w:r>
          </w:p>
        </w:tc>
        <w:tc>
          <w:tcPr/>
          <w:p w:rsidR="00000000" w:rsidDel="00000000" w:rsidP="00000000" w:rsidRDefault="00000000" w:rsidRPr="00000000" w14:paraId="00000468">
            <w:pPr>
              <w:rPr>
                <w:rFonts w:ascii="Arial" w:cs="Arial" w:eastAsia="Arial" w:hAnsi="Arial"/>
                <w:sz w:val="20"/>
                <w:szCs w:val="20"/>
              </w:rPr>
            </w:pPr>
            <w:r w:rsidDel="00000000" w:rsidR="00000000" w:rsidRPr="00000000">
              <w:rPr>
                <w:rFonts w:ascii="Arial" w:cs="Arial" w:eastAsia="Arial" w:hAnsi="Arial"/>
                <w:sz w:val="20"/>
                <w:szCs w:val="20"/>
                <w:rtl w:val="0"/>
              </w:rPr>
              <w:t xml:space="preserve">Boletín estadístico forestal, con información de ICA, MADR, FINAGRO, FNC y FEDECACAO. Consultoría de Factores de biomasa en plantaciones forestales comerciales por región en Colombia</w:t>
            </w:r>
          </w:p>
        </w:tc>
        <w:tc>
          <w:tcPr/>
          <w:p w:rsidR="00000000" w:rsidDel="00000000" w:rsidP="00000000" w:rsidRDefault="00000000" w:rsidRPr="00000000" w14:paraId="00000469">
            <w:pPr>
              <w:rPr>
                <w:rFonts w:ascii="Arial" w:cs="Arial" w:eastAsia="Arial" w:hAnsi="Arial"/>
                <w:sz w:val="20"/>
                <w:szCs w:val="20"/>
              </w:rPr>
            </w:pPr>
            <w:r w:rsidDel="00000000" w:rsidR="00000000" w:rsidRPr="00000000">
              <w:rPr>
                <w:rFonts w:ascii="Arial" w:cs="Arial" w:eastAsia="Arial" w:hAnsi="Arial"/>
                <w:sz w:val="20"/>
                <w:szCs w:val="20"/>
                <w:rtl w:val="0"/>
              </w:rPr>
              <w:t xml:space="preserve">3B1aiii Tierras forestales que permanecen como tales (Plantaciones forestales comerciales biomasa)</w:t>
            </w:r>
          </w:p>
        </w:tc>
      </w:tr>
      <w:tr>
        <w:trPr>
          <w:cantSplit w:val="0"/>
          <w:trHeight w:val="1331" w:hRule="atLeast"/>
          <w:tblHeader w:val="0"/>
        </w:trPr>
        <w:tc>
          <w:tcPr/>
          <w:p w:rsidR="00000000" w:rsidDel="00000000" w:rsidP="00000000" w:rsidRDefault="00000000" w:rsidRPr="00000000" w14:paraId="0000046A">
            <w:pPr>
              <w:rPr>
                <w:rFonts w:ascii="Arial" w:cs="Arial" w:eastAsia="Arial" w:hAnsi="Arial"/>
                <w:sz w:val="20"/>
                <w:szCs w:val="20"/>
              </w:rPr>
            </w:pPr>
            <w:r w:rsidDel="00000000" w:rsidR="00000000" w:rsidRPr="00000000">
              <w:rPr>
                <w:rFonts w:ascii="Arial" w:cs="Arial" w:eastAsia="Arial" w:hAnsi="Arial"/>
                <w:sz w:val="20"/>
                <w:szCs w:val="20"/>
                <w:rtl w:val="0"/>
              </w:rPr>
              <w:t xml:space="preserve">MADR, MADR-CIAT</w:t>
            </w:r>
          </w:p>
        </w:tc>
        <w:tc>
          <w:tcPr/>
          <w:p w:rsidR="00000000" w:rsidDel="00000000" w:rsidP="00000000" w:rsidRDefault="00000000" w:rsidRPr="00000000" w14:paraId="0000046B">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de áreas anuales de siembra de cultivos de AGRONET; MADR-CIAT, 2015. Análisis integral de sistemas productivos en Colombia para la adaptación al cambio climático. CONVENIO MADR-CIAT 20120382</w:t>
            </w:r>
          </w:p>
        </w:tc>
        <w:tc>
          <w:tcPr/>
          <w:p w:rsidR="00000000" w:rsidDel="00000000" w:rsidP="00000000" w:rsidRDefault="00000000" w:rsidRPr="00000000" w14:paraId="0000046C">
            <w:pPr>
              <w:rPr>
                <w:rFonts w:ascii="Arial" w:cs="Arial" w:eastAsia="Arial" w:hAnsi="Arial"/>
                <w:sz w:val="20"/>
                <w:szCs w:val="20"/>
              </w:rPr>
            </w:pPr>
            <w:r w:rsidDel="00000000" w:rsidR="00000000" w:rsidRPr="00000000">
              <w:rPr>
                <w:rFonts w:ascii="Arial" w:cs="Arial" w:eastAsia="Arial" w:hAnsi="Arial"/>
                <w:sz w:val="20"/>
                <w:szCs w:val="20"/>
                <w:rtl w:val="0"/>
              </w:rPr>
              <w:t xml:space="preserve">3B2aiv - Aguacate, 3B2avi - Mango, 3B2avii - Limón, 3B2aviii - Mandarina, 3B2aix - Naranja, 3B2ax - Tangelo</w:t>
            </w:r>
          </w:p>
        </w:tc>
      </w:tr>
      <w:tr>
        <w:trPr>
          <w:cantSplit w:val="0"/>
          <w:trHeight w:val="1250" w:hRule="atLeast"/>
          <w:tblHeader w:val="0"/>
        </w:trPr>
        <w:tc>
          <w:tcPr/>
          <w:p w:rsidR="00000000" w:rsidDel="00000000" w:rsidP="00000000" w:rsidRDefault="00000000" w:rsidRPr="00000000" w14:paraId="0000046D">
            <w:pPr>
              <w:rPr>
                <w:rFonts w:ascii="Arial" w:cs="Arial" w:eastAsia="Arial" w:hAnsi="Arial"/>
                <w:sz w:val="20"/>
                <w:szCs w:val="20"/>
              </w:rPr>
            </w:pPr>
            <w:r w:rsidDel="00000000" w:rsidR="00000000" w:rsidRPr="00000000">
              <w:rPr>
                <w:rFonts w:ascii="Arial" w:cs="Arial" w:eastAsia="Arial" w:hAnsi="Arial"/>
                <w:sz w:val="20"/>
                <w:szCs w:val="20"/>
                <w:rtl w:val="0"/>
              </w:rPr>
              <w:t xml:space="preserve">MADR, U. Tolima</w:t>
            </w:r>
          </w:p>
        </w:tc>
        <w:tc>
          <w:tcPr/>
          <w:p w:rsidR="00000000" w:rsidDel="00000000" w:rsidP="00000000" w:rsidRDefault="00000000" w:rsidRPr="00000000" w14:paraId="0000046E">
            <w:pPr>
              <w:rPr>
                <w:rFonts w:ascii="Arial" w:cs="Arial" w:eastAsia="Arial" w:hAnsi="Arial"/>
                <w:sz w:val="20"/>
                <w:szCs w:val="20"/>
              </w:rPr>
            </w:pPr>
            <w:r w:rsidDel="00000000" w:rsidR="00000000" w:rsidRPr="00000000">
              <w:rPr>
                <w:rFonts w:ascii="Arial" w:cs="Arial" w:eastAsia="Arial" w:hAnsi="Arial"/>
                <w:sz w:val="20"/>
                <w:szCs w:val="20"/>
                <w:rtl w:val="0"/>
              </w:rPr>
              <w:t xml:space="preserve">Bases de datos de áreas anuales de siembra de cultivos de AGRONET; Consultoría de Factores de biomasa en plantaciones forestales comerciales por región en Colombia</w:t>
            </w:r>
          </w:p>
        </w:tc>
        <w:tc>
          <w:tcPr/>
          <w:p w:rsidR="00000000" w:rsidDel="00000000" w:rsidP="00000000" w:rsidRDefault="00000000" w:rsidRPr="00000000" w14:paraId="0000046F">
            <w:pPr>
              <w:rPr>
                <w:rFonts w:ascii="Arial" w:cs="Arial" w:eastAsia="Arial" w:hAnsi="Arial"/>
                <w:sz w:val="20"/>
                <w:szCs w:val="20"/>
              </w:rPr>
            </w:pPr>
            <w:r w:rsidDel="00000000" w:rsidR="00000000" w:rsidRPr="00000000">
              <w:rPr>
                <w:rFonts w:ascii="Arial" w:cs="Arial" w:eastAsia="Arial" w:hAnsi="Arial"/>
                <w:sz w:val="20"/>
                <w:szCs w:val="20"/>
                <w:rtl w:val="0"/>
              </w:rPr>
              <w:t xml:space="preserve">3B2av - Caucho</w:t>
            </w:r>
          </w:p>
        </w:tc>
      </w:tr>
      <w:tr>
        <w:trPr>
          <w:cantSplit w:val="0"/>
          <w:trHeight w:val="1000" w:hRule="atLeast"/>
          <w:tblHeader w:val="0"/>
        </w:trPr>
        <w:tc>
          <w:tcPr/>
          <w:p w:rsidR="00000000" w:rsidDel="00000000" w:rsidP="00000000" w:rsidRDefault="00000000" w:rsidRPr="00000000" w14:paraId="00000470">
            <w:pPr>
              <w:rPr>
                <w:rFonts w:ascii="Arial" w:cs="Arial" w:eastAsia="Arial" w:hAnsi="Arial"/>
                <w:sz w:val="20"/>
                <w:szCs w:val="20"/>
              </w:rPr>
            </w:pPr>
            <w:r w:rsidDel="00000000" w:rsidR="00000000" w:rsidRPr="00000000">
              <w:rPr>
                <w:rFonts w:ascii="Arial" w:cs="Arial" w:eastAsia="Arial" w:hAnsi="Arial"/>
                <w:sz w:val="20"/>
                <w:szCs w:val="20"/>
                <w:rtl w:val="0"/>
              </w:rPr>
              <w:t xml:space="preserve">MADR; Consulta de expertos</w:t>
            </w:r>
          </w:p>
        </w:tc>
        <w:tc>
          <w:tcPr/>
          <w:p w:rsidR="00000000" w:rsidDel="00000000" w:rsidP="00000000" w:rsidRDefault="00000000" w:rsidRPr="00000000" w14:paraId="00000471">
            <w:pPr>
              <w:rPr>
                <w:rFonts w:ascii="Arial" w:cs="Arial" w:eastAsia="Arial" w:hAnsi="Arial"/>
                <w:sz w:val="20"/>
                <w:szCs w:val="20"/>
              </w:rPr>
            </w:pPr>
            <w:r w:rsidDel="00000000" w:rsidR="00000000" w:rsidRPr="00000000">
              <w:rPr>
                <w:rFonts w:ascii="Arial" w:cs="Arial" w:eastAsia="Arial" w:hAnsi="Arial"/>
                <w:sz w:val="20"/>
                <w:szCs w:val="20"/>
                <w:rtl w:val="0"/>
              </w:rPr>
              <w:t xml:space="preserve">Anuario Estadístico del Sector Agropecuario y Evaluaciones Agropecuarias Municipales; Arbol de decisiones para el uso de la cal</w:t>
            </w:r>
          </w:p>
        </w:tc>
        <w:tc>
          <w:tcPr/>
          <w:p w:rsidR="00000000" w:rsidDel="00000000" w:rsidP="00000000" w:rsidRDefault="00000000" w:rsidRPr="00000000" w14:paraId="00000472">
            <w:pPr>
              <w:rPr>
                <w:rFonts w:ascii="Arial" w:cs="Arial" w:eastAsia="Arial" w:hAnsi="Arial"/>
                <w:sz w:val="20"/>
                <w:szCs w:val="20"/>
              </w:rPr>
            </w:pPr>
            <w:r w:rsidDel="00000000" w:rsidR="00000000" w:rsidRPr="00000000">
              <w:rPr>
                <w:rFonts w:ascii="Arial" w:cs="Arial" w:eastAsia="Arial" w:hAnsi="Arial"/>
                <w:sz w:val="20"/>
                <w:szCs w:val="20"/>
                <w:rtl w:val="0"/>
              </w:rPr>
              <w:t xml:space="preserve">3C2. Encalado</w:t>
            </w:r>
          </w:p>
        </w:tc>
      </w:tr>
      <w:tr>
        <w:trPr>
          <w:cantSplit w:val="0"/>
          <w:trHeight w:val="1500" w:hRule="atLeast"/>
          <w:tblHeader w:val="0"/>
        </w:trPr>
        <w:tc>
          <w:tcPr/>
          <w:p w:rsidR="00000000" w:rsidDel="00000000" w:rsidP="00000000" w:rsidRDefault="00000000" w:rsidRPr="00000000" w14:paraId="00000473">
            <w:pPr>
              <w:rPr>
                <w:rFonts w:ascii="Arial" w:cs="Arial" w:eastAsia="Arial" w:hAnsi="Arial"/>
                <w:sz w:val="20"/>
                <w:szCs w:val="20"/>
              </w:rPr>
            </w:pPr>
            <w:r w:rsidDel="00000000" w:rsidR="00000000" w:rsidRPr="00000000">
              <w:rPr>
                <w:rFonts w:ascii="Arial" w:cs="Arial" w:eastAsia="Arial" w:hAnsi="Arial"/>
                <w:sz w:val="20"/>
                <w:szCs w:val="20"/>
                <w:rtl w:val="0"/>
              </w:rPr>
              <w:t xml:space="preserve">SISPA - FEDEPAMA, CENIPALMA</w:t>
            </w:r>
          </w:p>
        </w:tc>
        <w:tc>
          <w:tcPr/>
          <w:p w:rsidR="00000000" w:rsidDel="00000000" w:rsidP="00000000" w:rsidRDefault="00000000" w:rsidRPr="00000000" w14:paraId="00000474">
            <w:pPr>
              <w:rPr>
                <w:rFonts w:ascii="Arial" w:cs="Arial" w:eastAsia="Arial" w:hAnsi="Arial"/>
                <w:sz w:val="20"/>
                <w:szCs w:val="20"/>
              </w:rPr>
            </w:pPr>
            <w:r w:rsidDel="00000000" w:rsidR="00000000" w:rsidRPr="00000000">
              <w:rPr>
                <w:rFonts w:ascii="Arial" w:cs="Arial" w:eastAsia="Arial" w:hAnsi="Arial"/>
                <w:sz w:val="20"/>
                <w:szCs w:val="20"/>
                <w:rtl w:val="0"/>
              </w:rPr>
              <w:t xml:space="preserve">Sistema de Información palmera; CENIPALMA (Henson et al, 2012. The greenhouse gas balance of the oil palm industry in Colombia: a preliminary analysis. I. Carbon sequestration and carbon offsets)</w:t>
            </w:r>
          </w:p>
        </w:tc>
        <w:tc>
          <w:tcPr/>
          <w:p w:rsidR="00000000" w:rsidDel="00000000" w:rsidP="00000000" w:rsidRDefault="00000000" w:rsidRPr="00000000" w14:paraId="00000475">
            <w:pPr>
              <w:rPr>
                <w:rFonts w:ascii="Arial" w:cs="Arial" w:eastAsia="Arial" w:hAnsi="Arial"/>
                <w:sz w:val="20"/>
                <w:szCs w:val="20"/>
              </w:rPr>
            </w:pPr>
            <w:r w:rsidDel="00000000" w:rsidR="00000000" w:rsidRPr="00000000">
              <w:rPr>
                <w:rFonts w:ascii="Arial" w:cs="Arial" w:eastAsia="Arial" w:hAnsi="Arial"/>
                <w:sz w:val="20"/>
                <w:szCs w:val="20"/>
                <w:rtl w:val="0"/>
              </w:rPr>
              <w:t xml:space="preserve">3B2aii - Palma</w:t>
            </w:r>
          </w:p>
        </w:tc>
      </w:tr>
      <w:tr>
        <w:trPr>
          <w:cantSplit w:val="0"/>
          <w:trHeight w:val="1750" w:hRule="atLeast"/>
          <w:tblHeader w:val="0"/>
        </w:trPr>
        <w:tc>
          <w:tcPr>
            <w:vMerge w:val="restart"/>
          </w:tcPr>
          <w:p w:rsidR="00000000" w:rsidDel="00000000" w:rsidP="00000000" w:rsidRDefault="00000000" w:rsidRPr="00000000" w14:paraId="00000476">
            <w:pPr>
              <w:rPr>
                <w:rFonts w:ascii="Arial" w:cs="Arial" w:eastAsia="Arial" w:hAnsi="Arial"/>
                <w:sz w:val="20"/>
                <w:szCs w:val="20"/>
              </w:rPr>
            </w:pPr>
            <w:r w:rsidDel="00000000" w:rsidR="00000000" w:rsidRPr="00000000">
              <w:rPr>
                <w:rFonts w:ascii="Arial" w:cs="Arial" w:eastAsia="Arial" w:hAnsi="Arial"/>
                <w:sz w:val="20"/>
                <w:szCs w:val="20"/>
                <w:rtl w:val="0"/>
              </w:rPr>
              <w:t xml:space="preserve">SMByC-IDEAM, IFN</w:t>
            </w:r>
          </w:p>
        </w:tc>
        <w:tc>
          <w:tcPr/>
          <w:p w:rsidR="00000000" w:rsidDel="00000000" w:rsidP="00000000" w:rsidRDefault="00000000" w:rsidRPr="00000000" w14:paraId="00000477">
            <w:pPr>
              <w:rPr>
                <w:rFonts w:ascii="Arial" w:cs="Arial" w:eastAsia="Arial" w:hAnsi="Arial"/>
                <w:sz w:val="20"/>
                <w:szCs w:val="20"/>
              </w:rPr>
            </w:pPr>
            <w:r w:rsidDel="00000000" w:rsidR="00000000" w:rsidRPr="00000000">
              <w:rPr>
                <w:rFonts w:ascii="Arial" w:cs="Arial" w:eastAsia="Arial" w:hAnsi="Arial"/>
                <w:sz w:val="20"/>
                <w:szCs w:val="20"/>
                <w:rtl w:val="0"/>
              </w:rPr>
              <w:t xml:space="preserve">Cambio de la Superficie Cubierta por Bosque Natural; Factores de biomasa aérea y subterránea, contenidos de carbono en suelos, contenidos de carbono en la MOM por bioma; Tipificación de la deforestación</w:t>
            </w:r>
          </w:p>
        </w:tc>
        <w:tc>
          <w:tcPr/>
          <w:p w:rsidR="00000000" w:rsidDel="00000000" w:rsidP="00000000" w:rsidRDefault="00000000" w:rsidRPr="00000000" w14:paraId="00000478">
            <w:pPr>
              <w:rPr>
                <w:rFonts w:ascii="Arial" w:cs="Arial" w:eastAsia="Arial" w:hAnsi="Arial"/>
                <w:sz w:val="20"/>
                <w:szCs w:val="20"/>
              </w:rPr>
            </w:pPr>
            <w:r w:rsidDel="00000000" w:rsidR="00000000" w:rsidRPr="00000000">
              <w:rPr>
                <w:rFonts w:ascii="Arial" w:cs="Arial" w:eastAsia="Arial" w:hAnsi="Arial"/>
                <w:sz w:val="20"/>
                <w:szCs w:val="20"/>
                <w:rtl w:val="0"/>
              </w:rPr>
              <w:t xml:space="preserve">3B1aii Tierras forestales que permanecen como tales (Transiciones entre bosque natural y otras tierras forestales</w:t>
            </w:r>
          </w:p>
          <w:p w:rsidR="00000000" w:rsidDel="00000000" w:rsidP="00000000" w:rsidRDefault="00000000" w:rsidRPr="00000000" w14:paraId="00000479">
            <w:pPr>
              <w:rPr>
                <w:rFonts w:ascii="Arial" w:cs="Arial" w:eastAsia="Arial" w:hAnsi="Arial"/>
                <w:sz w:val="20"/>
                <w:szCs w:val="20"/>
              </w:rPr>
            </w:pPr>
            <w:r w:rsidDel="00000000" w:rsidR="00000000" w:rsidRPr="00000000">
              <w:rPr>
                <w:rFonts w:ascii="Arial" w:cs="Arial" w:eastAsia="Arial" w:hAnsi="Arial"/>
                <w:sz w:val="20"/>
                <w:szCs w:val="20"/>
                <w:rtl w:val="0"/>
              </w:rPr>
              <w:t xml:space="preserve">3B2bi Tierras forestales convertidas en cultivos</w:t>
            </w:r>
          </w:p>
          <w:p w:rsidR="00000000" w:rsidDel="00000000" w:rsidP="00000000" w:rsidRDefault="00000000" w:rsidRPr="00000000" w14:paraId="0000047A">
            <w:pPr>
              <w:rPr>
                <w:rFonts w:ascii="Arial" w:cs="Arial" w:eastAsia="Arial" w:hAnsi="Arial"/>
                <w:sz w:val="20"/>
                <w:szCs w:val="20"/>
              </w:rPr>
            </w:pPr>
            <w:r w:rsidDel="00000000" w:rsidR="00000000" w:rsidRPr="00000000">
              <w:rPr>
                <w:rFonts w:ascii="Arial" w:cs="Arial" w:eastAsia="Arial" w:hAnsi="Arial"/>
                <w:sz w:val="20"/>
                <w:szCs w:val="20"/>
                <w:rtl w:val="0"/>
              </w:rPr>
              <w:t xml:space="preserve">3B3bi Tierras forestales convertidas en pastizales</w:t>
            </w:r>
          </w:p>
          <w:p w:rsidR="00000000" w:rsidDel="00000000" w:rsidP="00000000" w:rsidRDefault="00000000" w:rsidRPr="00000000" w14:paraId="0000047B">
            <w:pPr>
              <w:rPr>
                <w:rFonts w:ascii="Arial" w:cs="Arial" w:eastAsia="Arial" w:hAnsi="Arial"/>
                <w:sz w:val="20"/>
                <w:szCs w:val="20"/>
              </w:rPr>
            </w:pPr>
            <w:r w:rsidDel="00000000" w:rsidR="00000000" w:rsidRPr="00000000">
              <w:rPr>
                <w:rFonts w:ascii="Arial" w:cs="Arial" w:eastAsia="Arial" w:hAnsi="Arial"/>
                <w:sz w:val="20"/>
                <w:szCs w:val="20"/>
                <w:rtl w:val="0"/>
              </w:rPr>
              <w:t xml:space="preserve">3B4bi Tierras forestales convertidas en humedales</w:t>
            </w:r>
          </w:p>
          <w:p w:rsidR="00000000" w:rsidDel="00000000" w:rsidP="00000000" w:rsidRDefault="00000000" w:rsidRPr="00000000" w14:paraId="0000047C">
            <w:pPr>
              <w:rPr>
                <w:rFonts w:ascii="Arial" w:cs="Arial" w:eastAsia="Arial" w:hAnsi="Arial"/>
                <w:sz w:val="20"/>
                <w:szCs w:val="20"/>
              </w:rPr>
            </w:pPr>
            <w:r w:rsidDel="00000000" w:rsidR="00000000" w:rsidRPr="00000000">
              <w:rPr>
                <w:rFonts w:ascii="Arial" w:cs="Arial" w:eastAsia="Arial" w:hAnsi="Arial"/>
                <w:sz w:val="20"/>
                <w:szCs w:val="20"/>
                <w:rtl w:val="0"/>
              </w:rPr>
              <w:t xml:space="preserve">3B5bi Tierras forestales convertidas en Asentamientos</w:t>
            </w:r>
          </w:p>
          <w:p w:rsidR="00000000" w:rsidDel="00000000" w:rsidP="00000000" w:rsidRDefault="00000000" w:rsidRPr="00000000" w14:paraId="0000047D">
            <w:pPr>
              <w:rPr>
                <w:rFonts w:ascii="Arial" w:cs="Arial" w:eastAsia="Arial" w:hAnsi="Arial"/>
                <w:sz w:val="20"/>
                <w:szCs w:val="20"/>
              </w:rPr>
            </w:pPr>
            <w:r w:rsidDel="00000000" w:rsidR="00000000" w:rsidRPr="00000000">
              <w:rPr>
                <w:rFonts w:ascii="Arial" w:cs="Arial" w:eastAsia="Arial" w:hAnsi="Arial"/>
                <w:sz w:val="20"/>
                <w:szCs w:val="20"/>
                <w:rtl w:val="0"/>
              </w:rPr>
              <w:t xml:space="preserve">3B6bi Tierras forestales convertidas en otras tierras</w:t>
            </w:r>
          </w:p>
        </w:tc>
      </w:tr>
      <w:tr>
        <w:trPr>
          <w:cantSplit w:val="0"/>
          <w:trHeight w:val="661" w:hRule="atLeast"/>
          <w:tblHeader w:val="0"/>
        </w:trPr>
        <w:tc>
          <w:tcPr>
            <w:vMerge w:val="continue"/>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7F">
            <w:pPr>
              <w:rPr>
                <w:rFonts w:ascii="Arial" w:cs="Arial" w:eastAsia="Arial" w:hAnsi="Arial"/>
                <w:sz w:val="20"/>
                <w:szCs w:val="20"/>
              </w:rPr>
            </w:pPr>
            <w:r w:rsidDel="00000000" w:rsidR="00000000" w:rsidRPr="00000000">
              <w:rPr>
                <w:rFonts w:ascii="Arial" w:cs="Arial" w:eastAsia="Arial" w:hAnsi="Arial"/>
                <w:sz w:val="20"/>
                <w:szCs w:val="20"/>
                <w:rtl w:val="0"/>
              </w:rPr>
              <w:t xml:space="preserve">Cambio de la Superficie Cubierta por Bosque Natural; Factores de biomasa aérea y subterránea, contenidos de carbono en suelos, contenidos de carbono en la MOM por bioma; Tipificación de la regeneración</w:t>
            </w:r>
          </w:p>
          <w:p w:rsidR="00000000" w:rsidDel="00000000" w:rsidP="00000000" w:rsidRDefault="00000000" w:rsidRPr="00000000" w14:paraId="00000480">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81">
            <w:pPr>
              <w:rPr>
                <w:rFonts w:ascii="Arial" w:cs="Arial" w:eastAsia="Arial" w:hAnsi="Arial"/>
                <w:sz w:val="20"/>
                <w:szCs w:val="20"/>
              </w:rPr>
            </w:pPr>
            <w:r w:rsidDel="00000000" w:rsidR="00000000" w:rsidRPr="00000000">
              <w:rPr>
                <w:rFonts w:ascii="Arial" w:cs="Arial" w:eastAsia="Arial" w:hAnsi="Arial"/>
                <w:sz w:val="20"/>
                <w:szCs w:val="20"/>
                <w:rtl w:val="0"/>
              </w:rPr>
              <w:t xml:space="preserve">3B1bi Tierras de cultivo convertidas en tierras forestales</w:t>
            </w:r>
          </w:p>
          <w:p w:rsidR="00000000" w:rsidDel="00000000" w:rsidP="00000000" w:rsidRDefault="00000000" w:rsidRPr="00000000" w14:paraId="00000482">
            <w:pPr>
              <w:rPr>
                <w:rFonts w:ascii="Arial" w:cs="Arial" w:eastAsia="Arial" w:hAnsi="Arial"/>
                <w:sz w:val="20"/>
                <w:szCs w:val="20"/>
              </w:rPr>
            </w:pPr>
            <w:r w:rsidDel="00000000" w:rsidR="00000000" w:rsidRPr="00000000">
              <w:rPr>
                <w:rFonts w:ascii="Arial" w:cs="Arial" w:eastAsia="Arial" w:hAnsi="Arial"/>
                <w:sz w:val="20"/>
                <w:szCs w:val="20"/>
                <w:rtl w:val="0"/>
              </w:rPr>
              <w:t xml:space="preserve">3B1bii Pastizales convertidos en tierras forestales</w:t>
            </w:r>
          </w:p>
          <w:p w:rsidR="00000000" w:rsidDel="00000000" w:rsidP="00000000" w:rsidRDefault="00000000" w:rsidRPr="00000000" w14:paraId="00000483">
            <w:pPr>
              <w:rPr>
                <w:rFonts w:ascii="Arial" w:cs="Arial" w:eastAsia="Arial" w:hAnsi="Arial"/>
                <w:sz w:val="20"/>
                <w:szCs w:val="20"/>
              </w:rPr>
            </w:pPr>
            <w:r w:rsidDel="00000000" w:rsidR="00000000" w:rsidRPr="00000000">
              <w:rPr>
                <w:rFonts w:ascii="Arial" w:cs="Arial" w:eastAsia="Arial" w:hAnsi="Arial"/>
                <w:sz w:val="20"/>
                <w:szCs w:val="20"/>
                <w:rtl w:val="0"/>
              </w:rPr>
              <w:t xml:space="preserve">3B1biii Humedales convertidos en tierras forestales</w:t>
            </w:r>
          </w:p>
          <w:p w:rsidR="00000000" w:rsidDel="00000000" w:rsidP="00000000" w:rsidRDefault="00000000" w:rsidRPr="00000000" w14:paraId="00000484">
            <w:pPr>
              <w:rPr>
                <w:rFonts w:ascii="Arial" w:cs="Arial" w:eastAsia="Arial" w:hAnsi="Arial"/>
                <w:sz w:val="20"/>
                <w:szCs w:val="20"/>
              </w:rPr>
            </w:pPr>
            <w:r w:rsidDel="00000000" w:rsidR="00000000" w:rsidRPr="00000000">
              <w:rPr>
                <w:rFonts w:ascii="Arial" w:cs="Arial" w:eastAsia="Arial" w:hAnsi="Arial"/>
                <w:sz w:val="20"/>
                <w:szCs w:val="20"/>
                <w:rtl w:val="0"/>
              </w:rPr>
              <w:t xml:space="preserve">3B1biv Asentamientos convertidos en tierras forestales</w:t>
            </w:r>
          </w:p>
          <w:p w:rsidR="00000000" w:rsidDel="00000000" w:rsidP="00000000" w:rsidRDefault="00000000" w:rsidRPr="00000000" w14:paraId="00000485">
            <w:pPr>
              <w:rPr>
                <w:rFonts w:ascii="Arial" w:cs="Arial" w:eastAsia="Arial" w:hAnsi="Arial"/>
                <w:sz w:val="20"/>
                <w:szCs w:val="20"/>
              </w:rPr>
            </w:pPr>
            <w:r w:rsidDel="00000000" w:rsidR="00000000" w:rsidRPr="00000000">
              <w:rPr>
                <w:rFonts w:ascii="Arial" w:cs="Arial" w:eastAsia="Arial" w:hAnsi="Arial"/>
                <w:sz w:val="20"/>
                <w:szCs w:val="20"/>
                <w:rtl w:val="0"/>
              </w:rPr>
              <w:t xml:space="preserve">3B1bv Otras tierras convertidas en tierras forestales</w:t>
            </w:r>
          </w:p>
        </w:tc>
      </w:tr>
      <w:tr>
        <w:trPr>
          <w:cantSplit w:val="0"/>
          <w:trHeight w:val="500" w:hRule="atLeast"/>
          <w:tblHeader w:val="0"/>
        </w:trPr>
        <w:tc>
          <w:tcPr>
            <w:vMerge w:val="restart"/>
          </w:tcPr>
          <w:p w:rsidR="00000000" w:rsidDel="00000000" w:rsidP="00000000" w:rsidRDefault="00000000" w:rsidRPr="00000000" w14:paraId="00000486">
            <w:pPr>
              <w:rPr>
                <w:rFonts w:ascii="Arial" w:cs="Arial" w:eastAsia="Arial" w:hAnsi="Arial"/>
                <w:sz w:val="20"/>
                <w:szCs w:val="20"/>
              </w:rPr>
            </w:pPr>
            <w:r w:rsidDel="00000000" w:rsidR="00000000" w:rsidRPr="00000000">
              <w:rPr>
                <w:rFonts w:ascii="Arial" w:cs="Arial" w:eastAsia="Arial" w:hAnsi="Arial"/>
                <w:sz w:val="20"/>
                <w:szCs w:val="20"/>
                <w:rtl w:val="0"/>
              </w:rPr>
              <w:t xml:space="preserve">SNIF- IDEAM</w:t>
            </w:r>
          </w:p>
        </w:tc>
        <w:tc>
          <w:tcPr/>
          <w:p w:rsidR="00000000" w:rsidDel="00000000" w:rsidP="00000000" w:rsidRDefault="00000000" w:rsidRPr="00000000" w14:paraId="00000487">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anual de áreas incendiadas del SNIF</w:t>
            </w:r>
          </w:p>
          <w:p w:rsidR="00000000" w:rsidDel="00000000" w:rsidP="00000000" w:rsidRDefault="00000000" w:rsidRPr="00000000" w14:paraId="00000488">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89">
            <w:pPr>
              <w:rPr>
                <w:rFonts w:ascii="Arial" w:cs="Arial" w:eastAsia="Arial" w:hAnsi="Arial"/>
                <w:sz w:val="20"/>
                <w:szCs w:val="20"/>
              </w:rPr>
            </w:pPr>
            <w:r w:rsidDel="00000000" w:rsidR="00000000" w:rsidRPr="00000000">
              <w:rPr>
                <w:rFonts w:ascii="Arial" w:cs="Arial" w:eastAsia="Arial" w:hAnsi="Arial"/>
                <w:sz w:val="20"/>
                <w:szCs w:val="20"/>
                <w:rtl w:val="0"/>
              </w:rPr>
              <w:t xml:space="preserve">3C1. Quema de Biomasa</w:t>
            </w:r>
          </w:p>
          <w:p w:rsidR="00000000" w:rsidDel="00000000" w:rsidP="00000000" w:rsidRDefault="00000000" w:rsidRPr="00000000" w14:paraId="0000048A">
            <w:pPr>
              <w:rPr>
                <w:rFonts w:ascii="Arial" w:cs="Arial" w:eastAsia="Arial" w:hAnsi="Arial"/>
                <w:sz w:val="20"/>
                <w:szCs w:val="20"/>
              </w:rPr>
            </w:pPr>
            <w:r w:rsidDel="00000000" w:rsidR="00000000" w:rsidRPr="00000000">
              <w:rPr>
                <w:rFonts w:ascii="Arial" w:cs="Arial" w:eastAsia="Arial" w:hAnsi="Arial"/>
                <w:sz w:val="20"/>
                <w:szCs w:val="20"/>
                <w:rtl w:val="0"/>
              </w:rPr>
              <w:t xml:space="preserve">3B1aiii Tierras forestales que permanecen como tales (Quema de biomasa en plantaciones forestales)</w:t>
            </w:r>
          </w:p>
          <w:p w:rsidR="00000000" w:rsidDel="00000000" w:rsidP="00000000" w:rsidRDefault="00000000" w:rsidRPr="00000000" w14:paraId="0000048B">
            <w:pPr>
              <w:rPr>
                <w:rFonts w:ascii="Arial" w:cs="Arial" w:eastAsia="Arial" w:hAnsi="Arial"/>
                <w:sz w:val="20"/>
                <w:szCs w:val="20"/>
              </w:rPr>
            </w:pPr>
            <w:r w:rsidDel="00000000" w:rsidR="00000000" w:rsidRPr="00000000">
              <w:rPr>
                <w:rFonts w:ascii="Arial" w:cs="Arial" w:eastAsia="Arial" w:hAnsi="Arial"/>
                <w:sz w:val="20"/>
                <w:szCs w:val="20"/>
                <w:rtl w:val="0"/>
              </w:rPr>
              <w:t xml:space="preserve">3B3a Pastizales que permanecen como tales (biomasa quema de biomasa)</w:t>
            </w:r>
          </w:p>
        </w:tc>
      </w:tr>
      <w:tr>
        <w:trPr>
          <w:cantSplit w:val="0"/>
          <w:trHeight w:val="1000" w:hRule="atLeast"/>
          <w:tblHeader w:val="0"/>
        </w:trPr>
        <w:tc>
          <w:tcPr>
            <w:vMerge w:val="continue"/>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48D">
            <w:pPr>
              <w:rPr>
                <w:rFonts w:ascii="Arial" w:cs="Arial" w:eastAsia="Arial" w:hAnsi="Arial"/>
                <w:sz w:val="20"/>
                <w:szCs w:val="20"/>
              </w:rPr>
            </w:pPr>
            <w:r w:rsidDel="00000000" w:rsidR="00000000" w:rsidRPr="00000000">
              <w:rPr>
                <w:rFonts w:ascii="Arial" w:cs="Arial" w:eastAsia="Arial" w:hAnsi="Arial"/>
                <w:sz w:val="20"/>
                <w:szCs w:val="20"/>
                <w:rtl w:val="0"/>
              </w:rPr>
              <w:t xml:space="preserve">Reporte anual de áreas incendiadas del SNIF; Anuario Estadístico del Sector Agropecuario y Evaluaciones Agropecuarias Municipales</w:t>
            </w:r>
          </w:p>
        </w:tc>
        <w:tc>
          <w:tcPr/>
          <w:p w:rsidR="00000000" w:rsidDel="00000000" w:rsidP="00000000" w:rsidRDefault="00000000" w:rsidRPr="00000000" w14:paraId="0000048E">
            <w:pPr>
              <w:rPr>
                <w:rFonts w:ascii="Arial" w:cs="Arial" w:eastAsia="Arial" w:hAnsi="Arial"/>
                <w:sz w:val="20"/>
                <w:szCs w:val="20"/>
              </w:rPr>
            </w:pPr>
            <w:r w:rsidDel="00000000" w:rsidR="00000000" w:rsidRPr="00000000">
              <w:rPr>
                <w:rFonts w:ascii="Arial" w:cs="Arial" w:eastAsia="Arial" w:hAnsi="Arial"/>
                <w:sz w:val="20"/>
                <w:szCs w:val="20"/>
                <w:rtl w:val="0"/>
              </w:rPr>
              <w:t xml:space="preserve">3B2axi - Otro (biomasa)</w:t>
            </w:r>
          </w:p>
        </w:tc>
      </w:tr>
    </w:tbl>
    <w:p w:rsidR="00000000" w:rsidDel="00000000" w:rsidP="00000000" w:rsidRDefault="00000000" w:rsidRPr="00000000" w14:paraId="000004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Categorías bajo nomenclatura NFR (EMEP/EEA 2019)</w:t>
      </w:r>
    </w:p>
    <w:p w:rsidR="00000000" w:rsidDel="00000000" w:rsidP="00000000" w:rsidRDefault="00000000" w:rsidRPr="00000000" w14:paraId="0000049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9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Así mismo, como se evidencia en la información suministrada en la Tabla 2-3, algunas entidades suministran información de datos de actividad a partir de diferentes bases de información (instrumentos). En este sentido, será necesario que estas entidades carguen un archivo de datos independiente por instrumento, de tal manera que pueda ser revisado por el sector que corresponda y en caso de rechazo no deba volver a cargar todos los instrumentos que genera su entidad, sino únicamente el instrumento que presente problemas. </w:t>
      </w:r>
    </w:p>
    <w:p w:rsidR="00000000" w:rsidDel="00000000" w:rsidP="00000000" w:rsidRDefault="00000000" w:rsidRPr="00000000" w14:paraId="00000493">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4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algunas entidades proporcionan información de datos de actividad bajo el mismo instrumento y que sirve de información de entrada para más de una categoría. En estos casos el SINGEI enviará la base a revisión de todos los sectores involucrados, y se deberá dar la aprobación de todos los sectores correspondientes para marcar el archivo cargado como </w:t>
      </w:r>
      <w:r w:rsidDel="00000000" w:rsidR="00000000" w:rsidRPr="00000000">
        <w:rPr>
          <w:rFonts w:ascii="Arial" w:cs="Arial" w:eastAsia="Arial" w:hAnsi="Arial"/>
          <w:i w:val="1"/>
          <w:sz w:val="22"/>
          <w:szCs w:val="22"/>
          <w:rtl w:val="0"/>
        </w:rPr>
        <w:t xml:space="preserve">Aprobado</w:t>
      </w:r>
      <w:r w:rsidDel="00000000" w:rsidR="00000000" w:rsidRPr="00000000">
        <w:rPr>
          <w:rFonts w:ascii="Arial" w:cs="Arial" w:eastAsia="Arial" w:hAnsi="Arial"/>
          <w:sz w:val="22"/>
          <w:szCs w:val="22"/>
          <w:rtl w:val="0"/>
        </w:rPr>
        <w:t xml:space="preserve"> (aprobación de un usuario por sector). </w:t>
      </w:r>
    </w:p>
    <w:p w:rsidR="00000000" w:rsidDel="00000000" w:rsidP="00000000" w:rsidRDefault="00000000" w:rsidRPr="00000000" w14:paraId="0000049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6">
      <w:pPr>
        <w:pStyle w:val="Heading2"/>
        <w:numPr>
          <w:ilvl w:val="1"/>
          <w:numId w:val="7"/>
        </w:numPr>
        <w:ind w:left="1080" w:hanging="720"/>
        <w:rPr/>
      </w:pPr>
      <w:bookmarkStart w:colFirst="0" w:colLast="0" w:name="_heading=h.2zbgiuw" w:id="20"/>
      <w:bookmarkEnd w:id="20"/>
      <w:r w:rsidDel="00000000" w:rsidR="00000000" w:rsidRPr="00000000">
        <w:rPr>
          <w:rtl w:val="0"/>
        </w:rPr>
        <w:t xml:space="preserve">Diagrama de flujo de trabajo del sistema </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jc w:val="both"/>
        <w:rPr/>
      </w:pPr>
      <w:r w:rsidDel="00000000" w:rsidR="00000000" w:rsidRPr="00000000">
        <w:rPr>
          <w:rFonts w:ascii="Arial" w:cs="Arial" w:eastAsia="Arial" w:hAnsi="Arial"/>
          <w:sz w:val="22"/>
          <w:szCs w:val="22"/>
          <w:rtl w:val="0"/>
        </w:rPr>
        <w:t xml:space="preserve">La plataforma SINGEI deberá operar por medio de módulos de trabajo, dentro de los cuales se ejecutarán todas las actividades necesarias para la estimación y articulación del INGEI en Colombia. Con el fin de mantener las bases de datos organizadas y realizar fácil trazabilidad sobre el proceso, cada módulo dentro de la plataforma gestionará la información y las acciones para diferentes etapas del proceso de estimación de emisiones, en este sentido, cada módulo contará con diferentes páginas que permitan realizar seguimiento y control. Los módulos planteados a la fecha son: Datos de actividad, Factores, Incertidumbre, Cálculos, Reportes, Proyecciones, Administración SINGEI y Administración de cuenta. Es de aclarar que, en la presente propuesta, el módulo Proyecciones únicamente se encuentra mencionado, y su etapa de planeación y diseño se realizará a futuro. </w:t>
      </w:r>
      <w:r w:rsidDel="00000000" w:rsidR="00000000" w:rsidRPr="00000000">
        <w:rPr>
          <w:rtl w:val="0"/>
        </w:rPr>
      </w:r>
    </w:p>
    <w:p w:rsidR="00000000" w:rsidDel="00000000" w:rsidP="00000000" w:rsidRDefault="00000000" w:rsidRPr="00000000" w14:paraId="0000049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9A">
      <w:pPr>
        <w:rPr>
          <w:rFonts w:ascii="Arial" w:cs="Arial" w:eastAsia="Arial" w:hAnsi="Arial"/>
          <w:sz w:val="22"/>
          <w:szCs w:val="22"/>
        </w:rPr>
        <w:sectPr>
          <w:type w:val="nextPage"/>
          <w:pgSz w:h="15840" w:w="12240" w:orient="portrait"/>
          <w:pgMar w:bottom="1418" w:top="1418" w:left="1701" w:right="1701" w:header="709" w:footer="709"/>
        </w:sectPr>
      </w:pPr>
      <w:r w:rsidDel="00000000" w:rsidR="00000000" w:rsidRPr="00000000">
        <w:rPr>
          <w:rFonts w:ascii="Arial" w:cs="Arial" w:eastAsia="Arial" w:hAnsi="Arial"/>
          <w:sz w:val="22"/>
          <w:szCs w:val="22"/>
          <w:rtl w:val="0"/>
        </w:rPr>
        <w:t xml:space="preserve">A continuación, se describen cada una de las etapas del flujo de la información dentro de la plataforma SINGEI.</w:t>
      </w:r>
    </w:p>
    <w:p w:rsidR="00000000" w:rsidDel="00000000" w:rsidP="00000000" w:rsidRDefault="00000000" w:rsidRPr="00000000" w14:paraId="0000049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2-1. Diagrama de flujo de trabajo del SINGEI</w:t>
      </w:r>
    </w:p>
    <w:p w:rsidR="00000000" w:rsidDel="00000000" w:rsidP="00000000" w:rsidRDefault="00000000" w:rsidRPr="00000000" w14:paraId="0000049C">
      <w:pPr>
        <w:jc w:val="center"/>
        <w:rPr>
          <w:rFonts w:ascii="Arial" w:cs="Arial" w:eastAsia="Arial" w:hAnsi="Arial"/>
          <w:sz w:val="22"/>
          <w:szCs w:val="22"/>
        </w:rPr>
      </w:pPr>
      <w:r w:rsidDel="00000000" w:rsidR="00000000" w:rsidRPr="00000000">
        <w:rPr/>
        <w:drawing>
          <wp:inline distB="114300" distT="114300" distL="114300" distR="114300">
            <wp:extent cx="8191183" cy="4905240"/>
            <wp:effectExtent b="0" l="0" r="0" t="0"/>
            <wp:docPr id="17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8191183" cy="4905240"/>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jc w:val="center"/>
        <w:rPr>
          <w:rFonts w:ascii="Arial" w:cs="Arial" w:eastAsia="Arial" w:hAnsi="Arial"/>
          <w:sz w:val="20"/>
          <w:szCs w:val="20"/>
        </w:rPr>
        <w:sectPr>
          <w:type w:val="nextPage"/>
          <w:pgSz w:h="12240" w:w="15840" w:orient="landscape"/>
          <w:pgMar w:bottom="1701" w:top="1701" w:left="1418" w:right="1418" w:header="709" w:footer="709"/>
        </w:sect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9E">
      <w:pPr>
        <w:pStyle w:val="Heading3"/>
        <w:numPr>
          <w:ilvl w:val="2"/>
          <w:numId w:val="7"/>
        </w:numPr>
        <w:ind w:left="1080" w:hanging="720"/>
        <w:rPr/>
      </w:pPr>
      <w:bookmarkStart w:colFirst="0" w:colLast="0" w:name="_heading=h.1egqt2p" w:id="21"/>
      <w:bookmarkEnd w:id="21"/>
      <w:r w:rsidDel="00000000" w:rsidR="00000000" w:rsidRPr="00000000">
        <w:rPr>
          <w:rtl w:val="0"/>
        </w:rPr>
        <w:t xml:space="preserve">Datos de actividad</w:t>
      </w:r>
    </w:p>
    <w:p w:rsidR="00000000" w:rsidDel="00000000" w:rsidP="00000000" w:rsidRDefault="00000000" w:rsidRPr="00000000" w14:paraId="0000049F">
      <w:pPr>
        <w:keepNext w:val="1"/>
        <w:pBdr>
          <w:top w:space="0" w:sz="0" w:val="nil"/>
          <w:left w:space="0" w:sz="0" w:val="nil"/>
          <w:bottom w:space="0" w:sz="0" w:val="nil"/>
          <w:right w:space="0" w:sz="0" w:val="nil"/>
          <w:between w:space="0" w:sz="0" w:val="nil"/>
        </w:pBdr>
        <w:rPr>
          <w:rFonts w:ascii="Arial" w:cs="Arial" w:eastAsia="Arial" w:hAnsi="Arial"/>
          <w:i w:val="1"/>
          <w:color w:val="44546a"/>
          <w:sz w:val="18"/>
          <w:szCs w:val="18"/>
        </w:rPr>
      </w:pPr>
      <w:bookmarkStart w:colFirst="0" w:colLast="0" w:name="_heading=h.2s8eyo1" w:id="22"/>
      <w:bookmarkEnd w:id="22"/>
      <w:r w:rsidDel="00000000" w:rsidR="00000000" w:rsidRPr="00000000">
        <w:rPr>
          <w:rtl w:val="0"/>
        </w:rPr>
      </w:r>
    </w:p>
    <w:p w:rsidR="00000000" w:rsidDel="00000000" w:rsidP="00000000" w:rsidRDefault="00000000" w:rsidRPr="00000000" w14:paraId="000004A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ygebqi" w:id="23"/>
      <w:bookmarkEnd w:id="23"/>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2-2. Proceso por el cual es sometida la información de datos de actividad dentro de la plataforma SINGEI (módulo de Datos de Actividad del SINGEI)</w:t>
      </w:r>
    </w:p>
    <w:p w:rsidR="00000000" w:rsidDel="00000000" w:rsidP="00000000" w:rsidRDefault="00000000" w:rsidRPr="00000000" w14:paraId="000004A1">
      <w:pPr>
        <w:jc w:val="center"/>
        <w:rPr/>
      </w:pPr>
      <w:r w:rsidDel="00000000" w:rsidR="00000000" w:rsidRPr="00000000">
        <w:rPr/>
        <w:drawing>
          <wp:inline distB="0" distT="0" distL="0" distR="0">
            <wp:extent cx="4997134" cy="2560197"/>
            <wp:effectExtent b="0" l="0" r="0" t="0"/>
            <wp:docPr descr="Diagrama&#10;&#10;Descripción generada automáticamente" id="237" name="image6.png"/>
            <a:graphic>
              <a:graphicData uri="http://schemas.openxmlformats.org/drawingml/2006/picture">
                <pic:pic>
                  <pic:nvPicPr>
                    <pic:cNvPr descr="Diagrama&#10;&#10;Descripción generada automáticamente" id="0" name="image6.png"/>
                    <pic:cNvPicPr preferRelativeResize="0"/>
                  </pic:nvPicPr>
                  <pic:blipFill>
                    <a:blip r:embed="rId12"/>
                    <a:srcRect b="0" l="0" r="0" t="0"/>
                    <a:stretch>
                      <a:fillRect/>
                    </a:stretch>
                  </pic:blipFill>
                  <pic:spPr>
                    <a:xfrm>
                      <a:off x="0" y="0"/>
                      <a:ext cx="4997134" cy="2560197"/>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A3">
      <w:pPr>
        <w:jc w:val="center"/>
        <w:rPr/>
      </w:pPr>
      <w:r w:rsidDel="00000000" w:rsidR="00000000" w:rsidRPr="00000000">
        <w:rPr>
          <w:rtl w:val="0"/>
        </w:rPr>
      </w:r>
    </w:p>
    <w:p w:rsidR="00000000" w:rsidDel="00000000" w:rsidP="00000000" w:rsidRDefault="00000000" w:rsidRPr="00000000" w14:paraId="000004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Figura 2-3 se muestra el proceso general llevado a cabo dentro del módulo de Datos de actividad, en el cual se realizará el cargue, verificación, aprobación, procesamiento y preparación de la información utilizada como datos de actividad, con el fin de consolidarla y dejarla lista para su uso en la estimación de emisiones del INGEI. </w:t>
      </w:r>
    </w:p>
    <w:p w:rsidR="00000000" w:rsidDel="00000000" w:rsidP="00000000" w:rsidRDefault="00000000" w:rsidRPr="00000000" w14:paraId="000004A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pStyle w:val="Heading3"/>
        <w:numPr>
          <w:ilvl w:val="2"/>
          <w:numId w:val="7"/>
        </w:numPr>
        <w:ind w:left="1080" w:hanging="720"/>
        <w:rPr/>
      </w:pPr>
      <w:bookmarkStart w:colFirst="0" w:colLast="0" w:name="_heading=h.2dlolyb" w:id="24"/>
      <w:bookmarkEnd w:id="24"/>
      <w:r w:rsidDel="00000000" w:rsidR="00000000" w:rsidRPr="00000000">
        <w:rPr>
          <w:rtl w:val="0"/>
        </w:rPr>
        <w:t xml:space="preserve">Factores</w:t>
      </w:r>
    </w:p>
    <w:p w:rsidR="00000000" w:rsidDel="00000000" w:rsidP="00000000" w:rsidRDefault="00000000" w:rsidRPr="00000000" w14:paraId="000004A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3rdcrjn" w:id="25"/>
      <w:bookmarkEnd w:id="25"/>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2-3. Proceso por el cual es sometida la información de factores dentro de la plataforma SINGEI (Módulo Factores del SINGEI)</w:t>
      </w:r>
    </w:p>
    <w:p w:rsidR="00000000" w:rsidDel="00000000" w:rsidP="00000000" w:rsidRDefault="00000000" w:rsidRPr="00000000" w14:paraId="000004A9">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2133600"/>
            <wp:effectExtent b="0" l="0" r="0" t="0"/>
            <wp:docPr id="2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61213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4AA">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A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se observa en la Figura 2-3, el módulo de Factores se encarga de gestionar la información referente a los factores utilizados para la estimación de emisiones, entre los que se encuentran los diferentes factores de emisión, así como factores por temática utilizados en las ecuaciones de cálculo de emisión, y los Potenciales de Calentamiento Global (GWP por sus siglas en inglés). </w:t>
      </w:r>
    </w:p>
    <w:p w:rsidR="00000000" w:rsidDel="00000000" w:rsidP="00000000" w:rsidRDefault="00000000" w:rsidRPr="00000000" w14:paraId="000004A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E">
      <w:pPr>
        <w:pStyle w:val="Heading3"/>
        <w:numPr>
          <w:ilvl w:val="2"/>
          <w:numId w:val="7"/>
        </w:numPr>
        <w:ind w:left="1080" w:hanging="720"/>
        <w:rPr/>
      </w:pPr>
      <w:bookmarkStart w:colFirst="0" w:colLast="0" w:name="_heading=h.sqyw64" w:id="26"/>
      <w:bookmarkEnd w:id="26"/>
      <w:r w:rsidDel="00000000" w:rsidR="00000000" w:rsidRPr="00000000">
        <w:rPr>
          <w:rtl w:val="0"/>
        </w:rPr>
        <w:t xml:space="preserve">Incertidumbre</w:t>
      </w:r>
    </w:p>
    <w:p w:rsidR="00000000" w:rsidDel="00000000" w:rsidP="00000000" w:rsidRDefault="00000000" w:rsidRPr="00000000" w14:paraId="000004A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módulo de Incertidumbre (ver Figura 2-4) funcionará de manera similar al módulo de Factores. En las bases de datos de los módulos Datos de actividad, Factores y Cálculos se relaciona la incertidumbre de cada valor, estos valores de incertidumbre deben ser ajustados desde el módulo Incertidumbre.</w:t>
      </w:r>
    </w:p>
    <w:p w:rsidR="00000000" w:rsidDel="00000000" w:rsidP="00000000" w:rsidRDefault="00000000" w:rsidRPr="00000000" w14:paraId="000004B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y810tw" w:id="27"/>
      <w:bookmarkEnd w:id="2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2-4. Proceso de errores de variables de entrada y de script de cálculo de incertidumbre, en la plataforma SINGEI (Módulo Incertidumbre del SINGEI)</w:t>
      </w:r>
    </w:p>
    <w:p w:rsidR="00000000" w:rsidDel="00000000" w:rsidP="00000000" w:rsidRDefault="00000000" w:rsidRPr="00000000" w14:paraId="000004B3">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2209800"/>
            <wp:effectExtent b="0" l="0" r="0" t="0"/>
            <wp:docPr id="15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61213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4B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6">
      <w:pPr>
        <w:pStyle w:val="Heading3"/>
        <w:numPr>
          <w:ilvl w:val="2"/>
          <w:numId w:val="7"/>
        </w:numPr>
        <w:ind w:left="1080" w:hanging="720"/>
        <w:rPr/>
      </w:pPr>
      <w:bookmarkStart w:colFirst="0" w:colLast="0" w:name="_heading=h.3cqmetx" w:id="28"/>
      <w:bookmarkEnd w:id="28"/>
      <w:r w:rsidDel="00000000" w:rsidR="00000000" w:rsidRPr="00000000">
        <w:rPr>
          <w:rtl w:val="0"/>
        </w:rPr>
        <w:t xml:space="preserve">Cálculos</w:t>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cálculos para la estimación de emisiones de GEI, CN y otros contaminantes atmosféricos, para cada una de las categorías y subcategorías, así como de la incertidumbre asociada a las mismas, deberán ser programados dentro del SINGEI, de manera que se ejecuten de manera automática. Estas estimaciones se llevarán a cabo dentro del módulo Cálculos (ver Figura 2-5).</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b3lg1b2pqr9c" w:id="29"/>
      <w:bookmarkEnd w:id="29"/>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2-5. Proceso de cálculo y recálculo de emisiones de GEI</w:t>
      </w:r>
    </w:p>
    <w:p w:rsidR="00000000" w:rsidDel="00000000" w:rsidP="00000000" w:rsidRDefault="00000000" w:rsidRPr="00000000" w14:paraId="000004BB">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4956775" cy="3094199"/>
            <wp:effectExtent b="0" l="0" r="0" t="0"/>
            <wp:docPr descr="Imagen que contiene Interfaz de usuario gráfica&#10;&#10;Descripción generada automáticamente" id="241" name="image10.png"/>
            <a:graphic>
              <a:graphicData uri="http://schemas.openxmlformats.org/drawingml/2006/picture">
                <pic:pic>
                  <pic:nvPicPr>
                    <pic:cNvPr descr="Imagen que contiene Interfaz de usuario gráfica&#10;&#10;Descripción generada automáticamente" id="0" name="image10.png"/>
                    <pic:cNvPicPr preferRelativeResize="0"/>
                  </pic:nvPicPr>
                  <pic:blipFill>
                    <a:blip r:embed="rId15"/>
                    <a:srcRect b="0" l="0" r="0" t="0"/>
                    <a:stretch>
                      <a:fillRect/>
                    </a:stretch>
                  </pic:blipFill>
                  <pic:spPr>
                    <a:xfrm>
                      <a:off x="0" y="0"/>
                      <a:ext cx="4956775" cy="3094199"/>
                    </a:xfrm>
                    <a:prstGeom prst="rect"/>
                    <a:ln/>
                  </pic:spPr>
                </pic:pic>
              </a:graphicData>
            </a:graphic>
          </wp:inline>
        </w:drawing>
      </w:r>
      <w:r w:rsidDel="00000000" w:rsidR="00000000" w:rsidRPr="00000000">
        <w:rPr>
          <w:rtl w:val="0"/>
        </w:rPr>
      </w:r>
    </w:p>
    <w:p w:rsidR="00000000" w:rsidDel="00000000" w:rsidP="00000000" w:rsidRDefault="00000000" w:rsidRPr="00000000" w14:paraId="000004B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pStyle w:val="Heading3"/>
        <w:numPr>
          <w:ilvl w:val="2"/>
          <w:numId w:val="7"/>
        </w:numPr>
        <w:ind w:left="1080" w:hanging="720"/>
        <w:rPr/>
      </w:pPr>
      <w:bookmarkStart w:colFirst="0" w:colLast="0" w:name="_heading=h.1rvwp1q" w:id="30"/>
      <w:bookmarkEnd w:id="30"/>
      <w:r w:rsidDel="00000000" w:rsidR="00000000" w:rsidRPr="00000000">
        <w:rPr>
          <w:rtl w:val="0"/>
        </w:rPr>
        <w:t xml:space="preserve">Reportes</w:t>
      </w:r>
    </w:p>
    <w:p w:rsidR="00000000" w:rsidDel="00000000" w:rsidP="00000000" w:rsidRDefault="00000000" w:rsidRPr="00000000" w14:paraId="000004BF">
      <w:pPr>
        <w:tabs>
          <w:tab w:val="left" w:pos="156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generación de reportes estará disponible para todos los roles de usuario de acuerdo con los permisos y accesos establecidos. Para que el sistema reconozca qué información de inventarios mostrar en cada rol, la información debe ser clasificada de manera previa dentro del sistema. Desde el módulo Reportes se podrán exportar reportes predefinidos del inventario, pero también se tendrá una sección de consultas a solicitud. </w:t>
      </w:r>
    </w:p>
    <w:p w:rsidR="00000000" w:rsidDel="00000000" w:rsidP="00000000" w:rsidRDefault="00000000" w:rsidRPr="00000000" w14:paraId="000004C0">
      <w:pPr>
        <w:tabs>
          <w:tab w:val="left" w:pos="156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4bvk7pj" w:id="31"/>
      <w:bookmarkEnd w:id="31"/>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2-6. Proceso de generación de reportes y consultas</w:t>
      </w:r>
    </w:p>
    <w:p w:rsidR="00000000" w:rsidDel="00000000" w:rsidP="00000000" w:rsidRDefault="00000000" w:rsidRPr="00000000" w14:paraId="000004C2">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096956" cy="2745136"/>
            <wp:effectExtent b="0" l="0" r="0" t="0"/>
            <wp:docPr id="24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096956" cy="2745136"/>
                    </a:xfrm>
                    <a:prstGeom prst="rect"/>
                    <a:ln/>
                  </pic:spPr>
                </pic:pic>
              </a:graphicData>
            </a:graphic>
          </wp:inline>
        </w:drawing>
      </w:r>
      <w:r w:rsidDel="00000000" w:rsidR="00000000" w:rsidRPr="00000000">
        <w:rPr>
          <w:rtl w:val="0"/>
        </w:rPr>
      </w:r>
    </w:p>
    <w:p w:rsidR="00000000" w:rsidDel="00000000" w:rsidP="00000000" w:rsidRDefault="00000000" w:rsidRPr="00000000" w14:paraId="000004C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4C4">
      <w:pPr>
        <w:tabs>
          <w:tab w:val="left" w:pos="156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5">
      <w:pPr>
        <w:pStyle w:val="Heading3"/>
        <w:numPr>
          <w:ilvl w:val="2"/>
          <w:numId w:val="7"/>
        </w:numPr>
        <w:ind w:left="1080" w:hanging="720"/>
        <w:rPr/>
      </w:pPr>
      <w:bookmarkStart w:colFirst="0" w:colLast="0" w:name="_heading=h.2r0uhxc" w:id="32"/>
      <w:bookmarkEnd w:id="32"/>
      <w:r w:rsidDel="00000000" w:rsidR="00000000" w:rsidRPr="00000000">
        <w:rPr>
          <w:rtl w:val="0"/>
        </w:rPr>
        <w:t xml:space="preserve">Proyecciones</w:t>
      </w:r>
    </w:p>
    <w:p w:rsidR="00000000" w:rsidDel="00000000" w:rsidP="00000000" w:rsidRDefault="00000000" w:rsidRPr="00000000" w14:paraId="000004C6">
      <w:pPr>
        <w:tabs>
          <w:tab w:val="left" w:pos="156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7">
      <w:pPr>
        <w:tabs>
          <w:tab w:val="left" w:pos="1560"/>
        </w:tabs>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módulo de proyección de emisiones permitirá plantear posibles escenarios de evolución de las emisiones a la atmósfera, tanto de GEI como de carbono negro y otros contaminantes atmosféricos. El SINGEI deberá contar con un módulo de proyecciones ya que estas pueden cumplir el papel de indicadores de cumplimiento para los objetivos de reducción de emisiones u otros compromisos climáticos, al mismo tiempo que son la base prospectiva para la elaboración de planes, programas o estrategias donde se planteen medidas y políticas de mitigación de emisiones. </w:t>
      </w:r>
    </w:p>
    <w:p w:rsidR="00000000" w:rsidDel="00000000" w:rsidP="00000000" w:rsidRDefault="00000000" w:rsidRPr="00000000" w14:paraId="000004C8">
      <w:pPr>
        <w:tabs>
          <w:tab w:val="left" w:pos="156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9">
      <w:pPr>
        <w:tabs>
          <w:tab w:val="left" w:pos="156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A">
      <w:pPr>
        <w:pStyle w:val="Heading2"/>
        <w:numPr>
          <w:ilvl w:val="1"/>
          <w:numId w:val="7"/>
        </w:numPr>
        <w:ind w:left="1080" w:hanging="720"/>
        <w:rPr/>
      </w:pPr>
      <w:bookmarkStart w:colFirst="0" w:colLast="0" w:name="_heading=h.1664s55" w:id="33"/>
      <w:bookmarkEnd w:id="33"/>
      <w:r w:rsidDel="00000000" w:rsidR="00000000" w:rsidRPr="00000000">
        <w:rPr>
          <w:rtl w:val="0"/>
        </w:rPr>
        <w:t xml:space="preserve">Formatos/plantillas de registro de Datos de actividad </w:t>
      </w:r>
    </w:p>
    <w:p w:rsidR="00000000" w:rsidDel="00000000" w:rsidP="00000000" w:rsidRDefault="00000000" w:rsidRPr="00000000" w14:paraId="000004C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Específicamente para el módulo Datos de actividad el SINGEI implementará diferentes bases de datos, con el fin de realizar una correcta gestión de la información. Por ello, se establecen algunos formatos y plantillas bajo los cuales deben ser construidas estas bases. Sin embargo, es importante resaltar que algunos de estos formatos pueden variar por categoría, o a medida que la plataforma y el INGEI se actualizan, por lo tanto, desde el inicio se debe concebir una plataforma flexible y adaptable.  </w:t>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pStyle w:val="Heading3"/>
        <w:numPr>
          <w:ilvl w:val="2"/>
          <w:numId w:val="7"/>
        </w:numPr>
        <w:ind w:left="1080" w:hanging="720"/>
        <w:rPr/>
      </w:pPr>
      <w:bookmarkStart w:colFirst="0" w:colLast="0" w:name="_heading=h.3q5sasy" w:id="34"/>
      <w:bookmarkEnd w:id="34"/>
      <w:r w:rsidDel="00000000" w:rsidR="00000000" w:rsidRPr="00000000">
        <w:rPr>
          <w:rtl w:val="0"/>
        </w:rPr>
        <w:t xml:space="preserve">Datos de actividad </w:t>
      </w:r>
    </w:p>
    <w:p w:rsidR="00000000" w:rsidDel="00000000" w:rsidP="00000000" w:rsidRDefault="00000000" w:rsidRPr="00000000" w14:paraId="000004C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datos de actividad pasan por diferentes etapas dentro de la plataforma, desde los datos crudos enviados por la entidad/proveedor, seguido por los datos procesados, y finalizando en los datos listos para ser usados en el cálculo de emisiones. En este sentido, se plantean los siguientes formatos: </w:t>
      </w:r>
    </w:p>
    <w:p w:rsidR="00000000" w:rsidDel="00000000" w:rsidP="00000000" w:rsidRDefault="00000000" w:rsidRPr="00000000" w14:paraId="000004D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1">
      <w:pPr>
        <w:numPr>
          <w:ilvl w:val="0"/>
          <w:numId w:val="3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bookmarkStart w:colFirst="0" w:colLast="0" w:name="_heading=h.147n2zr" w:id="35"/>
      <w:bookmarkEnd w:id="35"/>
      <w:r w:rsidDel="00000000" w:rsidR="00000000" w:rsidRPr="00000000">
        <w:rPr>
          <w:rFonts w:ascii="Arial" w:cs="Arial" w:eastAsia="Arial" w:hAnsi="Arial"/>
          <w:b w:val="1"/>
          <w:color w:val="000000"/>
          <w:sz w:val="22"/>
          <w:szCs w:val="22"/>
          <w:rtl w:val="0"/>
        </w:rPr>
        <w:t xml:space="preserve">Formatos únicos (FU)</w:t>
      </w:r>
      <w:r w:rsidDel="00000000" w:rsidR="00000000" w:rsidRPr="00000000">
        <w:rPr>
          <w:rFonts w:ascii="Arial" w:cs="Arial" w:eastAsia="Arial" w:hAnsi="Arial"/>
          <w:color w:val="000000"/>
          <w:sz w:val="22"/>
          <w:szCs w:val="22"/>
          <w:rtl w:val="0"/>
        </w:rPr>
        <w:t xml:space="preserve">: los formatos únicos son bases de datos diseñadas para cargar la información de datos crudos de actividad que generan los proveedores/entidades, y que son enviados al IDEAM para la estimación del INGEI. Para los módulos Energía, IPPU y Residuos se maneja un único FU (el cual debe ser cargado por instrumento, es decir, si la entidad suministra información de 3 instrumentos diferentes deberá llenar 1 FU por instrumento). Para las fuentes de AFOLU se manejan diferentes formatos por entidad.</w:t>
      </w:r>
    </w:p>
    <w:p w:rsidR="00000000" w:rsidDel="00000000" w:rsidP="00000000" w:rsidRDefault="00000000" w:rsidRPr="00000000" w14:paraId="000004D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3">
      <w:pPr>
        <w:numPr>
          <w:ilvl w:val="0"/>
          <w:numId w:val="3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Consolidados datos iniciales (B0)</w:t>
      </w:r>
      <w:r w:rsidDel="00000000" w:rsidR="00000000" w:rsidRPr="00000000">
        <w:rPr>
          <w:rFonts w:ascii="Arial" w:cs="Arial" w:eastAsia="Arial" w:hAnsi="Arial"/>
          <w:color w:val="000000"/>
          <w:sz w:val="22"/>
          <w:szCs w:val="22"/>
          <w:rtl w:val="0"/>
        </w:rPr>
        <w:t xml:space="preserve">: Para los módulos Energía, IPPU y Residuos se plantea la unificación de información de todas las fuentes de información en un único archivo, para toda la serie histórica, por módulo, que facilite el manejo de información a la hora de realizar los cálculos de emisión. Es decir, se tendrá un único archivo B0 para Energía, otro para IPPU y otro para Residuos.</w:t>
      </w:r>
    </w:p>
    <w:p w:rsidR="00000000" w:rsidDel="00000000" w:rsidP="00000000" w:rsidRDefault="00000000" w:rsidRPr="00000000" w14:paraId="000004D4">
      <w:pPr>
        <w:pBdr>
          <w:top w:space="0" w:sz="0" w:val="nil"/>
          <w:left w:space="0" w:sz="0" w:val="nil"/>
          <w:bottom w:space="0" w:sz="0" w:val="nil"/>
          <w:right w:space="0" w:sz="0" w:val="nil"/>
          <w:between w:space="0" w:sz="0" w:val="nil"/>
        </w:pBdr>
        <w:ind w:left="720" w:firstLine="0"/>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4D5">
      <w:pPr>
        <w:numPr>
          <w:ilvl w:val="0"/>
          <w:numId w:val="3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Para el módulo AFOLU no se maneja un único archivo, por lo cual en estos casos el B0 estará conformado por una recopilación de archivos para todas las entidades/proveedores de información, para toda la serie histórica, y por categoría/subcategoría. </w:t>
      </w:r>
    </w:p>
    <w:p w:rsidR="00000000" w:rsidDel="00000000" w:rsidP="00000000" w:rsidRDefault="00000000" w:rsidRPr="00000000" w14:paraId="000004D6">
      <w:pPr>
        <w:jc w:val="both"/>
        <w:rPr>
          <w:rFonts w:ascii="Arial" w:cs="Arial" w:eastAsia="Arial" w:hAnsi="Arial"/>
          <w:sz w:val="22"/>
          <w:szCs w:val="22"/>
        </w:rPr>
      </w:pPr>
      <w:bookmarkStart w:colFirst="0" w:colLast="0" w:name="_heading=h.3o7alnk" w:id="36"/>
      <w:bookmarkEnd w:id="36"/>
      <w:r w:rsidDel="00000000" w:rsidR="00000000" w:rsidRPr="00000000">
        <w:rPr>
          <w:rtl w:val="0"/>
        </w:rPr>
      </w:r>
    </w:p>
    <w:p w:rsidR="00000000" w:rsidDel="00000000" w:rsidP="00000000" w:rsidRDefault="00000000" w:rsidRPr="00000000" w14:paraId="000004D7">
      <w:pPr>
        <w:numPr>
          <w:ilvl w:val="0"/>
          <w:numId w:val="3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Intermedias - Procesamiento:</w:t>
      </w:r>
      <w:r w:rsidDel="00000000" w:rsidR="00000000" w:rsidRPr="00000000">
        <w:rPr>
          <w:rFonts w:ascii="Arial" w:cs="Arial" w:eastAsia="Arial" w:hAnsi="Arial"/>
          <w:color w:val="000000"/>
          <w:sz w:val="22"/>
          <w:szCs w:val="22"/>
          <w:rtl w:val="0"/>
        </w:rPr>
        <w:t xml:space="preserve"> archivos generados como resultado de los cálculos de procesamiento de datos de actividad, los cuales se realizan con el fin de unificar </w:t>
      </w:r>
      <w:r w:rsidDel="00000000" w:rsidR="00000000" w:rsidRPr="00000000">
        <w:rPr>
          <w:rFonts w:ascii="Arial" w:cs="Arial" w:eastAsia="Arial" w:hAnsi="Arial"/>
          <w:sz w:val="22"/>
          <w:szCs w:val="22"/>
          <w:rtl w:val="0"/>
        </w:rPr>
        <w:t xml:space="preserve">y homologar</w:t>
      </w:r>
      <w:r w:rsidDel="00000000" w:rsidR="00000000" w:rsidRPr="00000000">
        <w:rPr>
          <w:rFonts w:ascii="Arial" w:cs="Arial" w:eastAsia="Arial" w:hAnsi="Arial"/>
          <w:color w:val="000000"/>
          <w:sz w:val="22"/>
          <w:szCs w:val="22"/>
          <w:rtl w:val="0"/>
        </w:rPr>
        <w:t xml:space="preserve"> la información por categorías, calcular variables intermedias, y demás procesos necesarios para preparar la información dejarla lista para el cálculo de emisiones.</w:t>
      </w:r>
    </w:p>
    <w:p w:rsidR="00000000" w:rsidDel="00000000" w:rsidP="00000000" w:rsidRDefault="00000000" w:rsidRPr="00000000" w14:paraId="000004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9">
      <w:pPr>
        <w:numPr>
          <w:ilvl w:val="0"/>
          <w:numId w:val="31"/>
        </w:numPr>
        <w:pBdr>
          <w:top w:space="0" w:sz="0" w:val="nil"/>
          <w:left w:space="0" w:sz="0" w:val="nil"/>
          <w:bottom w:space="0" w:sz="0" w:val="nil"/>
          <w:right w:space="0" w:sz="0" w:val="nil"/>
          <w:between w:space="0" w:sz="0" w:val="nil"/>
        </w:pBdr>
        <w:ind w:left="720" w:hanging="36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Consolidado para cálculo (B2)</w:t>
      </w:r>
      <w:r w:rsidDel="00000000" w:rsidR="00000000" w:rsidRPr="00000000">
        <w:rPr>
          <w:rFonts w:ascii="Arial" w:cs="Arial" w:eastAsia="Arial" w:hAnsi="Arial"/>
          <w:color w:val="000000"/>
          <w:sz w:val="22"/>
          <w:szCs w:val="22"/>
          <w:rtl w:val="0"/>
        </w:rPr>
        <w:t xml:space="preserve">: Los archivos procesados que se consideren versiones finales listas para el cálculo, serán seleccionadas y marcados como “consolidados para cálculo”. Estas bases finales serán las que lean los scripts del módulo de Cálculo del SINGEI.</w:t>
      </w:r>
    </w:p>
    <w:p w:rsidR="00000000" w:rsidDel="00000000" w:rsidP="00000000" w:rsidRDefault="00000000" w:rsidRPr="00000000" w14:paraId="000004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B">
      <w:pPr>
        <w:jc w:val="both"/>
        <w:rPr>
          <w:rFonts w:ascii="Arial" w:cs="Arial" w:eastAsia="Arial" w:hAnsi="Arial"/>
          <w:sz w:val="22"/>
          <w:szCs w:val="22"/>
        </w:rPr>
      </w:pPr>
      <w:bookmarkStart w:colFirst="0" w:colLast="0" w:name="_heading=h.23ckvvd" w:id="37"/>
      <w:bookmarkEnd w:id="37"/>
      <w:r w:rsidDel="00000000" w:rsidR="00000000" w:rsidRPr="00000000">
        <w:rPr>
          <w:rFonts w:ascii="Arial" w:cs="Arial" w:eastAsia="Arial" w:hAnsi="Arial"/>
          <w:sz w:val="22"/>
          <w:szCs w:val="22"/>
          <w:rtl w:val="0"/>
        </w:rPr>
        <w:t xml:space="preserve">Los archivos B2 son los mismos archivos resultado del procesamiento, es decir, cuando se ejecutan los cálculos de procesamiento el SINGEI genera tanto los archivos intermedios como las versiones de base B2. Lo importante en este proceso es seleccionar las bases que se consolidarán para el cálculo de emisiones, las cuales se marcarán como “</w:t>
      </w:r>
      <w:r w:rsidDel="00000000" w:rsidR="00000000" w:rsidRPr="00000000">
        <w:rPr>
          <w:rFonts w:ascii="Arial" w:cs="Arial" w:eastAsia="Arial" w:hAnsi="Arial"/>
          <w:b w:val="1"/>
          <w:i w:val="1"/>
          <w:sz w:val="22"/>
          <w:szCs w:val="22"/>
          <w:rtl w:val="0"/>
        </w:rPr>
        <w:t xml:space="preserve">Consolidadas para cálculo</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4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D">
      <w:pPr>
        <w:pStyle w:val="Heading3"/>
        <w:numPr>
          <w:ilvl w:val="2"/>
          <w:numId w:val="7"/>
        </w:numPr>
        <w:ind w:left="1080" w:hanging="720"/>
        <w:rPr/>
      </w:pPr>
      <w:r w:rsidDel="00000000" w:rsidR="00000000" w:rsidRPr="00000000">
        <w:rPr>
          <w:rtl w:val="0"/>
        </w:rPr>
        <w:t xml:space="preserve">Factores</w:t>
      </w:r>
    </w:p>
    <w:p w:rsidR="00000000" w:rsidDel="00000000" w:rsidP="00000000" w:rsidRDefault="00000000" w:rsidRPr="00000000" w14:paraId="000004D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 de datos única en la cual se almacenarán todos los factores utilizados en los cálculos de emisiones para todos los sectores IPCC del INGEI, y que tendrá un atributo “Estado” en el cual los datos se clasificarán como &lt;FINAL&gt; cuando correspondan a las últimas versiones que serán usadas en la estimación del inventario nacional.</w:t>
      </w:r>
    </w:p>
    <w:p w:rsidR="00000000" w:rsidDel="00000000" w:rsidP="00000000" w:rsidRDefault="00000000" w:rsidRPr="00000000" w14:paraId="000004D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pStyle w:val="Heading3"/>
        <w:numPr>
          <w:ilvl w:val="2"/>
          <w:numId w:val="7"/>
        </w:numPr>
        <w:ind w:left="1080" w:hanging="720"/>
        <w:rPr/>
      </w:pPr>
      <w:r w:rsidDel="00000000" w:rsidR="00000000" w:rsidRPr="00000000">
        <w:rPr>
          <w:rtl w:val="0"/>
        </w:rPr>
        <w:t xml:space="preserve">Cálculos de emisión</w:t>
      </w:r>
    </w:p>
    <w:p w:rsidR="00000000" w:rsidDel="00000000" w:rsidP="00000000" w:rsidRDefault="00000000" w:rsidRPr="00000000" w14:paraId="000004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Bases de datos en las que se almacenarán las diferentes versiones de resultados de los procesos de cálculo de emisiones para todos los módulos IPCC del inventario nacional.</w:t>
      </w:r>
    </w:p>
    <w:p w:rsidR="00000000" w:rsidDel="00000000" w:rsidP="00000000" w:rsidRDefault="00000000" w:rsidRPr="00000000" w14:paraId="000004E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3">
      <w:pPr>
        <w:pStyle w:val="Heading3"/>
        <w:numPr>
          <w:ilvl w:val="2"/>
          <w:numId w:val="7"/>
        </w:numPr>
        <w:ind w:left="1080" w:hanging="720"/>
        <w:rPr/>
      </w:pPr>
      <w:r w:rsidDel="00000000" w:rsidR="00000000" w:rsidRPr="00000000">
        <w:rPr>
          <w:rtl w:val="0"/>
        </w:rPr>
        <w:t xml:space="preserve">Reportes</w:t>
      </w:r>
    </w:p>
    <w:p w:rsidR="00000000" w:rsidDel="00000000" w:rsidP="00000000" w:rsidRDefault="00000000" w:rsidRPr="00000000" w14:paraId="000004E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Bases de datos que almacenará los reportes generados a partir de los cálculos de emisiones y datos de actividad utilizados</w:t>
      </w:r>
    </w:p>
    <w:p w:rsidR="00000000" w:rsidDel="00000000" w:rsidP="00000000" w:rsidRDefault="00000000" w:rsidRPr="00000000" w14:paraId="000004E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6">
      <w:pPr>
        <w:pStyle w:val="Heading3"/>
        <w:numPr>
          <w:ilvl w:val="2"/>
          <w:numId w:val="7"/>
        </w:numPr>
        <w:ind w:left="1080" w:hanging="720"/>
        <w:rPr/>
      </w:pPr>
      <w:r w:rsidDel="00000000" w:rsidR="00000000" w:rsidRPr="00000000">
        <w:rPr>
          <w:rtl w:val="0"/>
        </w:rPr>
        <w:t xml:space="preserve">Incertidumbre</w:t>
      </w:r>
    </w:p>
    <w:p w:rsidR="00000000" w:rsidDel="00000000" w:rsidP="00000000" w:rsidRDefault="00000000" w:rsidRPr="00000000" w14:paraId="000004E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importante aclarar que no existirá una base de datos independiente de los valores de incertidumbre, sino que en cada base de datos descrita previamente se reportará igualmente el valor de incertidumbre asociada a cada variable. Es decir, a cada registro de dato de actividad estará asociada su respectiva incertidumbre (como una columna independiente, un atributo adicional), igualmente los valores de factores y finalmente los valores de emisiones resultado de los cálculos. </w:t>
      </w:r>
    </w:p>
    <w:p w:rsidR="00000000" w:rsidDel="00000000" w:rsidP="00000000" w:rsidRDefault="00000000" w:rsidRPr="00000000" w14:paraId="000004E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9">
      <w:pPr>
        <w:pStyle w:val="Heading2"/>
        <w:numPr>
          <w:ilvl w:val="1"/>
          <w:numId w:val="7"/>
        </w:numPr>
        <w:ind w:left="1080" w:hanging="720"/>
        <w:jc w:val="both"/>
        <w:rPr/>
      </w:pPr>
      <w:bookmarkStart w:colFirst="0" w:colLast="0" w:name="_heading=h.n2mh615na8u7" w:id="38"/>
      <w:bookmarkEnd w:id="38"/>
      <w:r w:rsidDel="00000000" w:rsidR="00000000" w:rsidRPr="00000000">
        <w:rPr>
          <w:rtl w:val="0"/>
        </w:rPr>
        <w:t xml:space="preserve">Datos de referencia</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siguientes datos de referencia deben mantenerse en el SINGEI.</w:t>
      </w:r>
    </w:p>
    <w:p w:rsidR="00000000" w:rsidDel="00000000" w:rsidP="00000000" w:rsidRDefault="00000000" w:rsidRPr="00000000" w14:paraId="000004E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D">
      <w:pPr>
        <w:pStyle w:val="Heading3"/>
        <w:numPr>
          <w:ilvl w:val="2"/>
          <w:numId w:val="7"/>
        </w:numPr>
        <w:ind w:left="1080" w:hanging="720"/>
        <w:rPr/>
      </w:pPr>
      <w:bookmarkStart w:colFirst="0" w:colLast="0" w:name="_heading=h.25b2l0r" w:id="39"/>
      <w:bookmarkEnd w:id="39"/>
      <w:r w:rsidDel="00000000" w:rsidR="00000000" w:rsidRPr="00000000">
        <w:rPr>
          <w:rtl w:val="0"/>
        </w:rPr>
        <w:t xml:space="preserve">Regiones, Departamentos y Municipios</w:t>
      </w:r>
    </w:p>
    <w:p w:rsidR="00000000" w:rsidDel="00000000" w:rsidP="00000000" w:rsidRDefault="00000000" w:rsidRPr="00000000" w14:paraId="000004E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crear una tabla de referencia que contenga todas las regiones, departamentos y municipios de Colombia.</w:t>
      </w:r>
    </w:p>
    <w:p w:rsidR="00000000" w:rsidDel="00000000" w:rsidP="00000000" w:rsidRDefault="00000000" w:rsidRPr="00000000" w14:paraId="000004E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0">
      <w:pPr>
        <w:pStyle w:val="Heading3"/>
        <w:numPr>
          <w:ilvl w:val="2"/>
          <w:numId w:val="7"/>
        </w:numPr>
        <w:ind w:left="1080" w:hanging="720"/>
        <w:rPr/>
      </w:pPr>
      <w:bookmarkStart w:colFirst="0" w:colLast="0" w:name="_heading=h.kgcv8k" w:id="40"/>
      <w:bookmarkEnd w:id="40"/>
      <w:r w:rsidDel="00000000" w:rsidR="00000000" w:rsidRPr="00000000">
        <w:rPr>
          <w:rtl w:val="0"/>
        </w:rPr>
        <w:t xml:space="preserve">Factores</w:t>
      </w:r>
    </w:p>
    <w:p w:rsidR="00000000" w:rsidDel="00000000" w:rsidP="00000000" w:rsidRDefault="00000000" w:rsidRPr="00000000" w14:paraId="000004F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 de datos que contenga todos los factores (factores de emisión, factores de ajuste, y todos los factores usados en los cálculos de emisiones y procesamiento de datos de actividad). Será una base única que contendrá toda la información de factores usados en el inventario nacional. Los valores finales que se usarán los scripts del módulo de cálculo serán aquellos factores marcados como “Final”. </w:t>
      </w:r>
    </w:p>
    <w:p w:rsidR="00000000" w:rsidDel="00000000" w:rsidP="00000000" w:rsidRDefault="00000000" w:rsidRPr="00000000" w14:paraId="000004F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3">
      <w:pPr>
        <w:pStyle w:val="Heading3"/>
        <w:numPr>
          <w:ilvl w:val="2"/>
          <w:numId w:val="7"/>
        </w:numPr>
        <w:ind w:left="1080" w:hanging="720"/>
        <w:rPr/>
      </w:pPr>
      <w:bookmarkStart w:colFirst="0" w:colLast="0" w:name="_heading=h.34g0dwd" w:id="41"/>
      <w:bookmarkEnd w:id="41"/>
      <w:r w:rsidDel="00000000" w:rsidR="00000000" w:rsidRPr="00000000">
        <w:rPr>
          <w:rtl w:val="0"/>
        </w:rPr>
        <w:t xml:space="preserve">Potenciales de calentamiento global</w:t>
      </w:r>
    </w:p>
    <w:p w:rsidR="00000000" w:rsidDel="00000000" w:rsidP="00000000" w:rsidRDefault="00000000" w:rsidRPr="00000000" w14:paraId="000004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potenciales de calentamiento global (GWP) se utilizan en la estimación de Gases de Efecto Invernadero - GEI. La estructura y formato de la base que se cargará en SINGEI, así como el contenido de esta, será creado por los consultores del IDEAM.</w:t>
      </w:r>
    </w:p>
    <w:p w:rsidR="00000000" w:rsidDel="00000000" w:rsidP="00000000" w:rsidRDefault="00000000" w:rsidRPr="00000000" w14:paraId="000004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NOTA: Los valores de GWP pueden revisarse con cada informe de evaluación y deberán actualizarse en consecuencia para el informe de inventario nacional de Colombia.</w:t>
      </w:r>
    </w:p>
    <w:p w:rsidR="00000000" w:rsidDel="00000000" w:rsidP="00000000" w:rsidRDefault="00000000" w:rsidRPr="00000000" w14:paraId="000004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8">
      <w:pPr>
        <w:pStyle w:val="Heading3"/>
        <w:numPr>
          <w:ilvl w:val="2"/>
          <w:numId w:val="7"/>
        </w:numPr>
        <w:ind w:left="1080" w:hanging="720"/>
        <w:rPr/>
      </w:pPr>
      <w:bookmarkStart w:colFirst="0" w:colLast="0" w:name="_heading=h.1jlao46" w:id="42"/>
      <w:bookmarkEnd w:id="42"/>
      <w:r w:rsidDel="00000000" w:rsidR="00000000" w:rsidRPr="00000000">
        <w:rPr>
          <w:rtl w:val="0"/>
        </w:rPr>
        <w:t xml:space="preserve">Relación entre el Sector IPCC y los Ministerios de Gobierno de Colombia</w:t>
      </w:r>
    </w:p>
    <w:p w:rsidR="00000000" w:rsidDel="00000000" w:rsidP="00000000" w:rsidRDefault="00000000" w:rsidRPr="00000000" w14:paraId="000004F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relación entre los sectores del IPCC y la economía de Colombia se puede usar para los informes. La estructura y los datos que se cargarán para esta tabla de referencia se basan en un mapeo hecho por el MADS. La base de relación de categoría por cartera será creada por los consultores de IDEAM.</w:t>
      </w:r>
    </w:p>
    <w:p w:rsidR="00000000" w:rsidDel="00000000" w:rsidP="00000000" w:rsidRDefault="00000000" w:rsidRPr="00000000" w14:paraId="000004F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NOTA: Las relaciones cambiarán si se agregan categorías adicionales del IPCC o si se considera pertinente reasignar sectores económicos a las categorías del IPCC. </w:t>
      </w:r>
    </w:p>
    <w:p w:rsidR="00000000" w:rsidDel="00000000" w:rsidP="00000000" w:rsidRDefault="00000000" w:rsidRPr="00000000" w14:paraId="000004F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D">
      <w:pPr>
        <w:pStyle w:val="Heading2"/>
        <w:numPr>
          <w:ilvl w:val="1"/>
          <w:numId w:val="7"/>
        </w:numPr>
        <w:ind w:left="1080" w:hanging="720"/>
        <w:rPr/>
      </w:pPr>
      <w:bookmarkStart w:colFirst="0" w:colLast="0" w:name="_heading=h.43ky6rz" w:id="43"/>
      <w:bookmarkEnd w:id="43"/>
      <w:r w:rsidDel="00000000" w:rsidR="00000000" w:rsidRPr="00000000">
        <w:rPr>
          <w:rtl w:val="0"/>
        </w:rPr>
        <w:t xml:space="preserve">Migración de datos</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Toda la actividad histórica de datos entre 1990-2018 (actualmente capturada en las bases de datos tituladas B2) deberá ser migrada al SINGEI, como información inicial. Esto permitirá a los usuarios acceder a datos históricos y actualizar datos si ocurren cambios en valores o metodologías que impacten las series de tiempo.</w:t>
      </w:r>
    </w:p>
    <w:p w:rsidR="00000000" w:rsidDel="00000000" w:rsidP="00000000" w:rsidRDefault="00000000" w:rsidRPr="00000000" w14:paraId="0000050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que SINGEI realice recálculos en todos los años de datos de inventario, todos los datos relevantes (desde 1990 en adelante) deben cargarse en SINGEI. Este proceso de migración de datos será un proceso de una sola vez, y deberá llevarse a cabo antes del "Recálculo".</w:t>
      </w:r>
    </w:p>
    <w:p w:rsidR="00000000" w:rsidDel="00000000" w:rsidP="00000000" w:rsidRDefault="00000000" w:rsidRPr="00000000" w14:paraId="0000050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3">
      <w:pPr>
        <w:pStyle w:val="Heading3"/>
        <w:numPr>
          <w:ilvl w:val="2"/>
          <w:numId w:val="7"/>
        </w:numPr>
        <w:ind w:left="1080" w:hanging="720"/>
        <w:rPr/>
      </w:pPr>
      <w:bookmarkStart w:colFirst="0" w:colLast="0" w:name="_heading=h.2iq8gzs" w:id="44"/>
      <w:bookmarkEnd w:id="44"/>
      <w:r w:rsidDel="00000000" w:rsidR="00000000" w:rsidRPr="00000000">
        <w:rPr>
          <w:rtl w:val="0"/>
        </w:rPr>
        <w:t xml:space="preserve">Fuentes de datos</w:t>
      </w:r>
    </w:p>
    <w:p w:rsidR="00000000" w:rsidDel="00000000" w:rsidP="00000000" w:rsidRDefault="00000000" w:rsidRPr="00000000" w14:paraId="0000050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siguientes fuentes de datos deben ser migradas a SINGEI:</w:t>
      </w:r>
    </w:p>
    <w:p w:rsidR="00000000" w:rsidDel="00000000" w:rsidP="00000000" w:rsidRDefault="00000000" w:rsidRPr="00000000" w14:paraId="00000506">
      <w:pPr>
        <w:numPr>
          <w:ilvl w:val="0"/>
          <w:numId w:val="1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1990 – 2014: Archivos B0 y B2, por año y módulo</w:t>
      </w:r>
    </w:p>
    <w:p w:rsidR="00000000" w:rsidDel="00000000" w:rsidP="00000000" w:rsidRDefault="00000000" w:rsidRPr="00000000" w14:paraId="00000507">
      <w:pPr>
        <w:numPr>
          <w:ilvl w:val="0"/>
          <w:numId w:val="17"/>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Resultados del cálculo (a partir de la fecha en que se produce la migración) para cada módulo y año.</w:t>
      </w:r>
    </w:p>
    <w:p w:rsidR="00000000" w:rsidDel="00000000" w:rsidP="00000000" w:rsidRDefault="00000000" w:rsidRPr="00000000" w14:paraId="00000508">
      <w:pPr>
        <w:jc w:val="both"/>
        <w:rPr>
          <w:rFonts w:ascii="Arial" w:cs="Arial" w:eastAsia="Arial" w:hAnsi="Arial"/>
          <w:sz w:val="22"/>
          <w:szCs w:val="22"/>
          <w:highlight w:val="yellow"/>
        </w:rPr>
      </w:pPr>
      <w:bookmarkStart w:colFirst="0" w:colLast="0" w:name="_heading=h.wllaw4k358gw" w:id="45"/>
      <w:bookmarkEnd w:id="45"/>
      <w:r w:rsidDel="00000000" w:rsidR="00000000" w:rsidRPr="00000000">
        <w:rPr>
          <w:rFonts w:ascii="Arial" w:cs="Arial" w:eastAsia="Arial" w:hAnsi="Arial"/>
          <w:sz w:val="22"/>
          <w:szCs w:val="22"/>
          <w:rtl w:val="0"/>
        </w:rPr>
        <w:t xml:space="preserve">NOTA: Por tal motivo, al momento de realizar el proceso de migración de datos históricos a la plataforma SINGEI será necesario verificar con cada líder de sector y su equipo de trabajo, cuáles son las últimas versiones para considerar. </w:t>
      </w: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ind w:left="1440" w:firstLine="0"/>
        <w:jc w:val="both"/>
        <w:rPr>
          <w:rFonts w:ascii="Arial" w:cs="Arial" w:eastAsia="Arial" w:hAnsi="Arial"/>
          <w:sz w:val="22"/>
          <w:szCs w:val="22"/>
        </w:rPr>
      </w:pPr>
      <w:bookmarkStart w:colFirst="0" w:colLast="0" w:name="_heading=h.gwqdew8mkip8" w:id="46"/>
      <w:bookmarkEnd w:id="46"/>
      <w:r w:rsidDel="00000000" w:rsidR="00000000" w:rsidRPr="00000000">
        <w:rPr>
          <w:rtl w:val="0"/>
        </w:rPr>
      </w:r>
    </w:p>
    <w:p w:rsidR="00000000" w:rsidDel="00000000" w:rsidP="00000000" w:rsidRDefault="00000000" w:rsidRPr="00000000" w14:paraId="0000050A">
      <w:pPr>
        <w:pBdr>
          <w:top w:space="0" w:sz="0" w:val="nil"/>
          <w:left w:space="0" w:sz="0" w:val="nil"/>
          <w:bottom w:space="0" w:sz="0" w:val="nil"/>
          <w:right w:space="0" w:sz="0" w:val="nil"/>
          <w:between w:space="0" w:sz="0" w:val="nil"/>
        </w:pBdr>
        <w:ind w:left="144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B">
      <w:pPr>
        <w:pStyle w:val="Heading1"/>
        <w:numPr>
          <w:ilvl w:val="0"/>
          <w:numId w:val="7"/>
        </w:numPr>
        <w:ind w:left="720" w:hanging="360"/>
        <w:rPr/>
      </w:pPr>
      <w:bookmarkStart w:colFirst="0" w:colLast="0" w:name="_heading=h.xvir7l" w:id="47"/>
      <w:bookmarkEnd w:id="47"/>
      <w:r w:rsidDel="00000000" w:rsidR="00000000" w:rsidRPr="00000000">
        <w:rPr>
          <w:rtl w:val="0"/>
        </w:rPr>
        <w:t xml:space="preserve">REQUERIMIENTOS NO FUNCIONALES</w:t>
      </w:r>
    </w:p>
    <w:p w:rsidR="00000000" w:rsidDel="00000000" w:rsidP="00000000" w:rsidRDefault="00000000" w:rsidRPr="00000000" w14:paraId="0000050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requerimientos No Funcionales del SINGEI que se describen a continuación, provienen o fueron adaptados del documento “Especificaciones de diseño y requerimientos de software SINGEI” elaborado por el equipo RALI en 2018, por tal motivo, se encuentran sujetos a cambios según las necesidades del equipo técnico y de cómputo. </w:t>
      </w:r>
    </w:p>
    <w:p w:rsidR="00000000" w:rsidDel="00000000" w:rsidP="00000000" w:rsidRDefault="00000000" w:rsidRPr="00000000" w14:paraId="0000050D">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50E">
      <w:pPr>
        <w:pStyle w:val="Heading2"/>
        <w:numPr>
          <w:ilvl w:val="1"/>
          <w:numId w:val="14"/>
        </w:numPr>
        <w:ind w:left="720" w:hanging="720"/>
        <w:rPr/>
      </w:pPr>
      <w:bookmarkStart w:colFirst="0" w:colLast="0" w:name="_heading=h.3hv69ve" w:id="48"/>
      <w:bookmarkEnd w:id="48"/>
      <w:r w:rsidDel="00000000" w:rsidR="00000000" w:rsidRPr="00000000">
        <w:rPr>
          <w:rtl w:val="0"/>
        </w:rPr>
        <w:t xml:space="preserve">Sistema</w:t>
      </w:r>
    </w:p>
    <w:p w:rsidR="00000000" w:rsidDel="00000000" w:rsidP="00000000" w:rsidRDefault="00000000" w:rsidRPr="00000000" w14:paraId="0000050F">
      <w:pPr>
        <w:rPr>
          <w:rFonts w:ascii="Arial" w:cs="Arial" w:eastAsia="Arial" w:hAnsi="Arial"/>
        </w:rPr>
      </w:pPr>
      <w:r w:rsidDel="00000000" w:rsidR="00000000" w:rsidRPr="00000000">
        <w:rPr>
          <w:rtl w:val="0"/>
        </w:rPr>
      </w:r>
    </w:p>
    <w:p w:rsidR="00000000" w:rsidDel="00000000" w:rsidP="00000000" w:rsidRDefault="00000000" w:rsidRPr="00000000" w14:paraId="00000510">
      <w:pPr>
        <w:pStyle w:val="Heading3"/>
        <w:numPr>
          <w:ilvl w:val="2"/>
          <w:numId w:val="14"/>
        </w:numPr>
        <w:ind w:left="720" w:hanging="720"/>
        <w:rPr/>
      </w:pPr>
      <w:bookmarkStart w:colFirst="0" w:colLast="0" w:name="_heading=h.lhpba6ojv7pk" w:id="49"/>
      <w:bookmarkEnd w:id="49"/>
      <w:r w:rsidDel="00000000" w:rsidR="00000000" w:rsidRPr="00000000">
        <w:rPr>
          <w:rtl w:val="0"/>
        </w:rPr>
        <w:t xml:space="preserve">Copias de seguridad</w:t>
      </w:r>
    </w:p>
    <w:p w:rsidR="00000000" w:rsidDel="00000000" w:rsidP="00000000" w:rsidRDefault="00000000" w:rsidRPr="00000000" w14:paraId="000005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Copias de seguridad necesarias como parte del proceso de Operaciones y Mantenimiento para SINGEI.</w:t>
      </w:r>
    </w:p>
    <w:p w:rsidR="00000000" w:rsidDel="00000000" w:rsidP="00000000" w:rsidRDefault="00000000" w:rsidRPr="00000000" w14:paraId="000005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3">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Ubicación de copias de seguridad</w:t>
      </w:r>
    </w:p>
    <w:p w:rsidR="00000000" w:rsidDel="00000000" w:rsidP="00000000" w:rsidRDefault="00000000" w:rsidRPr="00000000" w14:paraId="0000051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identificar una ubicación de archivo para almacenar las copias de seguridad de SINGEI.</w:t>
      </w:r>
    </w:p>
    <w:p w:rsidR="00000000" w:rsidDel="00000000" w:rsidP="00000000" w:rsidRDefault="00000000" w:rsidRPr="00000000" w14:paraId="00000515">
      <w:pPr>
        <w:numPr>
          <w:ilvl w:val="0"/>
          <w:numId w:val="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Componentes de las copias de seguridad</w:t>
      </w:r>
    </w:p>
    <w:p w:rsidR="00000000" w:rsidDel="00000000" w:rsidP="00000000" w:rsidRDefault="00000000" w:rsidRPr="00000000" w14:paraId="00000516">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Máquina virtual</w:t>
      </w:r>
    </w:p>
    <w:p w:rsidR="00000000" w:rsidDel="00000000" w:rsidP="00000000" w:rsidRDefault="00000000" w:rsidRPr="00000000" w14:paraId="0000051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SINGEI está integrado en una máquina virtual, se recomienda hacer una copia de seguridad diaria de la máquina virtual y conservar las copias de seguridad durante 30 días.</w:t>
      </w:r>
    </w:p>
    <w:p w:rsidR="00000000" w:rsidDel="00000000" w:rsidP="00000000" w:rsidRDefault="00000000" w:rsidRPr="00000000" w14:paraId="00000518">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Bases de datos</w:t>
      </w:r>
    </w:p>
    <w:p w:rsidR="00000000" w:rsidDel="00000000" w:rsidP="00000000" w:rsidRDefault="00000000" w:rsidRPr="00000000" w14:paraId="0000051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nivel de la base de datos, copias de seguridad rotacionales se deben configurar para:</w:t>
      </w:r>
    </w:p>
    <w:p w:rsidR="00000000" w:rsidDel="00000000" w:rsidP="00000000" w:rsidRDefault="00000000" w:rsidRPr="00000000" w14:paraId="0000051A">
      <w:pPr>
        <w:numPr>
          <w:ilvl w:val="0"/>
          <w:numId w:val="1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Copias de seguridad diarias. Mantenidas por 7 días.</w:t>
      </w:r>
    </w:p>
    <w:p w:rsidR="00000000" w:rsidDel="00000000" w:rsidP="00000000" w:rsidRDefault="00000000" w:rsidRPr="00000000" w14:paraId="0000051B">
      <w:pPr>
        <w:numPr>
          <w:ilvl w:val="0"/>
          <w:numId w:val="1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 de seguridad semanal (basada en la copia de seguridad diaria del viernes). Mantenidas por 5 semanas.</w:t>
      </w:r>
    </w:p>
    <w:p w:rsidR="00000000" w:rsidDel="00000000" w:rsidP="00000000" w:rsidRDefault="00000000" w:rsidRPr="00000000" w14:paraId="0000051C">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Servidor de archivos</w:t>
      </w:r>
    </w:p>
    <w:p w:rsidR="00000000" w:rsidDel="00000000" w:rsidP="00000000" w:rsidRDefault="00000000" w:rsidRPr="00000000" w14:paraId="0000051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recomienda realizar una copia de seguridad de todas las carpetas y archivos del servidor de archivos:</w:t>
      </w:r>
    </w:p>
    <w:p w:rsidR="00000000" w:rsidDel="00000000" w:rsidP="00000000" w:rsidRDefault="00000000" w:rsidRPr="00000000" w14:paraId="0000051E">
      <w:pPr>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Copias de seguridad diarias. Mantenidas por 7 días.</w:t>
      </w:r>
    </w:p>
    <w:p w:rsidR="00000000" w:rsidDel="00000000" w:rsidP="00000000" w:rsidRDefault="00000000" w:rsidRPr="00000000" w14:paraId="0000051F">
      <w:pPr>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Copia de seguridad semanal (basada en la copia de seguridad diaria del viernes). Mantenidas por 5 semanas.</w:t>
      </w:r>
    </w:p>
    <w:p w:rsidR="00000000" w:rsidDel="00000000" w:rsidP="00000000" w:rsidRDefault="00000000" w:rsidRPr="00000000" w14:paraId="0000052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1">
      <w:pPr>
        <w:pStyle w:val="Heading2"/>
        <w:numPr>
          <w:ilvl w:val="1"/>
          <w:numId w:val="14"/>
        </w:numPr>
        <w:ind w:left="720" w:hanging="720"/>
        <w:rPr/>
      </w:pPr>
      <w:bookmarkStart w:colFirst="0" w:colLast="0" w:name="_heading=h.1x0gk37" w:id="50"/>
      <w:bookmarkEnd w:id="50"/>
      <w:r w:rsidDel="00000000" w:rsidR="00000000" w:rsidRPr="00000000">
        <w:rPr>
          <w:rtl w:val="0"/>
        </w:rPr>
        <w:t xml:space="preserve">Datos</w:t>
      </w:r>
    </w:p>
    <w:p w:rsidR="00000000" w:rsidDel="00000000" w:rsidP="00000000" w:rsidRDefault="00000000" w:rsidRPr="00000000" w14:paraId="000005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Detalles de la frecuencia de retención y archivo de datos.</w:t>
      </w:r>
    </w:p>
    <w:p w:rsidR="00000000" w:rsidDel="00000000" w:rsidP="00000000" w:rsidRDefault="00000000" w:rsidRPr="00000000" w14:paraId="000005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4">
      <w:pPr>
        <w:pStyle w:val="Heading3"/>
        <w:numPr>
          <w:ilvl w:val="2"/>
          <w:numId w:val="14"/>
        </w:numPr>
        <w:ind w:left="720" w:hanging="720"/>
        <w:rPr/>
      </w:pPr>
      <w:bookmarkStart w:colFirst="0" w:colLast="0" w:name="_heading=h.4h042r0" w:id="51"/>
      <w:bookmarkEnd w:id="51"/>
      <w:r w:rsidDel="00000000" w:rsidR="00000000" w:rsidRPr="00000000">
        <w:rPr>
          <w:rtl w:val="0"/>
        </w:rPr>
        <w:t xml:space="preserve">Reglas de auditoría de datos</w:t>
      </w:r>
    </w:p>
    <w:p w:rsidR="00000000" w:rsidDel="00000000" w:rsidP="00000000" w:rsidRDefault="00000000" w:rsidRPr="00000000" w14:paraId="0000052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SINGEI debe realizar un seguimiento de los siguientes metadatos para cualquier cambio realizado en los datos existentes.</w:t>
      </w:r>
    </w:p>
    <w:p w:rsidR="00000000" w:rsidDel="00000000" w:rsidP="00000000" w:rsidRDefault="00000000" w:rsidRPr="00000000" w14:paraId="00000526">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Nombre del usuario que realizó el cambio</w:t>
      </w:r>
    </w:p>
    <w:p w:rsidR="00000000" w:rsidDel="00000000" w:rsidP="00000000" w:rsidRDefault="00000000" w:rsidRPr="00000000" w14:paraId="00000527">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Fecha y hora en que se realizó el cambio</w:t>
      </w:r>
    </w:p>
    <w:p w:rsidR="00000000" w:rsidDel="00000000" w:rsidP="00000000" w:rsidRDefault="00000000" w:rsidRPr="00000000" w14:paraId="00000528">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Nombre de tabla (o vista)</w:t>
      </w:r>
    </w:p>
    <w:p w:rsidR="00000000" w:rsidDel="00000000" w:rsidP="00000000" w:rsidRDefault="00000000" w:rsidRPr="00000000" w14:paraId="00000529">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Nombre de la columna</w:t>
      </w:r>
    </w:p>
    <w:p w:rsidR="00000000" w:rsidDel="00000000" w:rsidP="00000000" w:rsidRDefault="00000000" w:rsidRPr="00000000" w14:paraId="0000052A">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Valor antiguo</w:t>
      </w:r>
    </w:p>
    <w:p w:rsidR="00000000" w:rsidDel="00000000" w:rsidP="00000000" w:rsidRDefault="00000000" w:rsidRPr="00000000" w14:paraId="0000052B">
      <w:pPr>
        <w:numPr>
          <w:ilvl w:val="0"/>
          <w:numId w:val="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Valor nuevo</w:t>
      </w:r>
    </w:p>
    <w:p w:rsidR="00000000" w:rsidDel="00000000" w:rsidP="00000000" w:rsidRDefault="00000000" w:rsidRPr="00000000" w14:paraId="0000052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escenarios que pueden generar tales cambios en los datos existentes incluyen:</w:t>
      </w:r>
    </w:p>
    <w:p w:rsidR="00000000" w:rsidDel="00000000" w:rsidP="00000000" w:rsidRDefault="00000000" w:rsidRPr="00000000" w14:paraId="0000052D">
      <w:pPr>
        <w:numPr>
          <w:ilvl w:val="0"/>
          <w:numId w:val="1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Líder del Sector/Equipo técnico que cambia manualmente los datos de actividad recibidos de la entidad, antes de consolidar B2 y realizar cálculos</w:t>
      </w:r>
    </w:p>
    <w:p w:rsidR="00000000" w:rsidDel="00000000" w:rsidP="00000000" w:rsidRDefault="00000000" w:rsidRPr="00000000" w14:paraId="0000052E">
      <w:pPr>
        <w:numPr>
          <w:ilvl w:val="0"/>
          <w:numId w:val="1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Líder de Incertidumbre que modifica los valores de incertidumbre y los scripts de cálculo</w:t>
      </w:r>
    </w:p>
    <w:p w:rsidR="00000000" w:rsidDel="00000000" w:rsidP="00000000" w:rsidRDefault="00000000" w:rsidRPr="00000000" w14:paraId="0000052F">
      <w:pPr>
        <w:numPr>
          <w:ilvl w:val="0"/>
          <w:numId w:val="1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Líder del Sector/ Equipo técnico que cambia el valor de un factor de emisión existente (después de que haya sido aprobado por el Coordinador del Inventario)</w:t>
      </w:r>
    </w:p>
    <w:p w:rsidR="00000000" w:rsidDel="00000000" w:rsidP="00000000" w:rsidRDefault="00000000" w:rsidRPr="00000000" w14:paraId="0000053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1">
      <w:pPr>
        <w:pStyle w:val="Heading2"/>
        <w:numPr>
          <w:ilvl w:val="1"/>
          <w:numId w:val="14"/>
        </w:numPr>
        <w:ind w:left="720" w:hanging="720"/>
        <w:rPr/>
      </w:pPr>
      <w:bookmarkStart w:colFirst="0" w:colLast="0" w:name="_heading=h.2w5ecyt" w:id="52"/>
      <w:bookmarkEnd w:id="52"/>
      <w:r w:rsidDel="00000000" w:rsidR="00000000" w:rsidRPr="00000000">
        <w:rPr>
          <w:rtl w:val="0"/>
        </w:rPr>
        <w:t xml:space="preserve">Seguridad</w:t>
      </w:r>
    </w:p>
    <w:p w:rsidR="00000000" w:rsidDel="00000000" w:rsidP="00000000" w:rsidRDefault="00000000" w:rsidRPr="00000000" w14:paraId="000005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clasificación del sistema recomendada es Media. La justificación para esta recomendación es:</w:t>
      </w:r>
    </w:p>
    <w:p w:rsidR="00000000" w:rsidDel="00000000" w:rsidP="00000000" w:rsidRDefault="00000000" w:rsidRPr="00000000" w14:paraId="00000533">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bien el propósito del SINGEI es calcular datos que estarán disponibles al público, los datos provenientes de las entidades/instituciones se consideran confidenciales hasta que SINGEI aplique la limpieza y los cálculos necesarios.</w:t>
      </w:r>
    </w:p>
    <w:p w:rsidR="00000000" w:rsidDel="00000000" w:rsidP="00000000" w:rsidRDefault="00000000" w:rsidRPr="00000000" w14:paraId="00000534">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entidad/institución no debe poder ver el archivo de datos de actividad de otra entidad/institución.</w:t>
      </w:r>
    </w:p>
    <w:p w:rsidR="00000000" w:rsidDel="00000000" w:rsidP="00000000" w:rsidRDefault="00000000" w:rsidRPr="00000000" w14:paraId="00000535">
      <w:pPr>
        <w:numPr>
          <w:ilvl w:val="0"/>
          <w:numId w:val="13"/>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SINGEI contiene nombres de usuario y contraseñas que se consideran información confidencial.</w:t>
      </w:r>
    </w:p>
    <w:p w:rsidR="00000000" w:rsidDel="00000000" w:rsidP="00000000" w:rsidRDefault="00000000" w:rsidRPr="00000000" w14:paraId="0000053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7">
      <w:pPr>
        <w:pStyle w:val="Heading2"/>
        <w:numPr>
          <w:ilvl w:val="1"/>
          <w:numId w:val="14"/>
        </w:numPr>
        <w:ind w:left="720" w:hanging="720"/>
        <w:rPr/>
      </w:pPr>
      <w:bookmarkStart w:colFirst="0" w:colLast="0" w:name="_heading=h.1baon6m" w:id="53"/>
      <w:bookmarkEnd w:id="53"/>
      <w:r w:rsidDel="00000000" w:rsidR="00000000" w:rsidRPr="00000000">
        <w:rPr>
          <w:rtl w:val="0"/>
        </w:rPr>
        <w:t xml:space="preserve">Reportes Operacionales</w:t>
      </w:r>
    </w:p>
    <w:p w:rsidR="00000000" w:rsidDel="00000000" w:rsidP="00000000" w:rsidRDefault="00000000" w:rsidRPr="00000000" w14:paraId="000005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parte de la mejora continua del proceso técnico y comercial, el SINGEI debe generar informes de operaciones, que serán ajustados a medida que la plataforma evoluciona. </w:t>
      </w:r>
    </w:p>
    <w:p w:rsidR="00000000" w:rsidDel="00000000" w:rsidP="00000000" w:rsidRDefault="00000000" w:rsidRPr="00000000" w14:paraId="000005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A">
      <w:pPr>
        <w:pStyle w:val="Heading2"/>
        <w:numPr>
          <w:ilvl w:val="1"/>
          <w:numId w:val="14"/>
        </w:numPr>
        <w:ind w:left="720" w:hanging="720"/>
        <w:rPr/>
      </w:pPr>
      <w:bookmarkStart w:colFirst="0" w:colLast="0" w:name="_heading=h.3vac5uf" w:id="54"/>
      <w:bookmarkEnd w:id="54"/>
      <w:r w:rsidDel="00000000" w:rsidR="00000000" w:rsidRPr="00000000">
        <w:rPr>
          <w:rtl w:val="0"/>
        </w:rPr>
        <w:t xml:space="preserve">Gestión de cambios</w:t>
      </w:r>
    </w:p>
    <w:p w:rsidR="00000000" w:rsidDel="00000000" w:rsidP="00000000" w:rsidRDefault="00000000" w:rsidRPr="00000000" w14:paraId="0000053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establecer un proceso de gestión de cambios durante la fase de diseño e implementación de bajo nivel del SINGEI. Algunos procesos recomendados son:</w:t>
      </w:r>
    </w:p>
    <w:p w:rsidR="00000000" w:rsidDel="00000000" w:rsidP="00000000" w:rsidRDefault="00000000" w:rsidRPr="00000000" w14:paraId="000005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3D">
      <w:pPr>
        <w:pStyle w:val="Heading3"/>
        <w:numPr>
          <w:ilvl w:val="2"/>
          <w:numId w:val="14"/>
        </w:numPr>
        <w:ind w:left="720" w:hanging="720"/>
        <w:rPr/>
      </w:pPr>
      <w:bookmarkStart w:colFirst="0" w:colLast="0" w:name="_heading=h.2afmg28" w:id="55"/>
      <w:bookmarkEnd w:id="55"/>
      <w:r w:rsidDel="00000000" w:rsidR="00000000" w:rsidRPr="00000000">
        <w:rPr>
          <w:rtl w:val="0"/>
        </w:rPr>
        <w:t xml:space="preserve">Actualización de los scripts de cálculo del inventario de emisiones</w:t>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parte del proceso de cálculo del inventario, se espera que los niveles de metodología del IPCC 2006 o del Guidebook EMEP/EEA 2019, usados en la estimación del INGEI y del Inventario de carbono negro y otros contaminantes atmosféricos, respectivamente, cambien con el tiempo, debido a las mejoras implementadas. Para incorporar estos cambios, los scripts que contienen los cálculos del inventario de emisiones cambiarán. Debe haber un proceso fuera de línea (es decir, fuera de SINGEI) que permita la adopción y ejecución del nuevo script de cálculo, cuando se apruebe el nuevo script.</w:t>
      </w:r>
    </w:p>
    <w:p w:rsidR="00000000" w:rsidDel="00000000" w:rsidP="00000000" w:rsidRDefault="00000000" w:rsidRPr="00000000" w14:paraId="0000054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1">
      <w:pPr>
        <w:pStyle w:val="Heading3"/>
        <w:numPr>
          <w:ilvl w:val="2"/>
          <w:numId w:val="14"/>
        </w:numPr>
        <w:ind w:left="720" w:hanging="720"/>
        <w:rPr/>
      </w:pPr>
      <w:bookmarkStart w:colFirst="0" w:colLast="0" w:name="_heading=h.pkwqa1" w:id="56"/>
      <w:bookmarkEnd w:id="56"/>
      <w:r w:rsidDel="00000000" w:rsidR="00000000" w:rsidRPr="00000000">
        <w:rPr>
          <w:rtl w:val="0"/>
        </w:rPr>
        <w:t xml:space="preserve">Actualización de los scripts de cálculo de incertidumbre</w:t>
      </w:r>
    </w:p>
    <w:p w:rsidR="00000000" w:rsidDel="00000000" w:rsidP="00000000" w:rsidRDefault="00000000" w:rsidRPr="00000000" w14:paraId="0000054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los cambios en las metodologías para el cálculo de emisiones, los datos y la investigación en las categorías de emisiones, se espera que la metodología para calcular la incertidumbre también cambie. Para tomar esto en cuenta, los scripts que contienen los cálculos de incertidumbre del inventario cambiarán, se actualizarán. Debe haber un proceso fuera de línea (es decir, fuera de SINGEI) que permita la adopción y ejecución del nuevo script de cálculo de incertidumbre, cuando se apruebe el nuevo script.</w:t>
      </w:r>
    </w:p>
    <w:p w:rsidR="00000000" w:rsidDel="00000000" w:rsidP="00000000" w:rsidRDefault="00000000" w:rsidRPr="00000000" w14:paraId="000005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4">
      <w:pPr>
        <w:pStyle w:val="Heading3"/>
        <w:numPr>
          <w:ilvl w:val="2"/>
          <w:numId w:val="14"/>
        </w:numPr>
        <w:ind w:left="720" w:hanging="720"/>
        <w:rPr/>
      </w:pPr>
      <w:bookmarkStart w:colFirst="0" w:colLast="0" w:name="_heading=h.39kk8xu" w:id="57"/>
      <w:bookmarkEnd w:id="57"/>
      <w:r w:rsidDel="00000000" w:rsidR="00000000" w:rsidRPr="00000000">
        <w:rPr>
          <w:rtl w:val="0"/>
        </w:rPr>
        <w:t xml:space="preserve">Agregando nuevas entidades/instituciones/proveedores</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 se necesita agregar una nueva entidad, deberá pasar por un proceso de administración de cambios de IT. El propietario de la empresa, o el equipo técnico del INGEI, deberá proporcionar al equipo de desarrollo IT el nombre de la entidad y la(s) categoría(s) en las cuales se utiliza la información proporcionada por esa entidad. El equipo de desarrollo IT realizará las actualizaciones necesarias para que la nueva entidad se muestre en SINGEI, y se puedan agregar nuevos usuarios para esta entidad.</w:t>
      </w:r>
    </w:p>
    <w:p w:rsidR="00000000" w:rsidDel="00000000" w:rsidP="00000000" w:rsidRDefault="00000000" w:rsidRPr="00000000" w14:paraId="0000054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9">
      <w:pPr>
        <w:pStyle w:val="Heading1"/>
        <w:numPr>
          <w:ilvl w:val="0"/>
          <w:numId w:val="7"/>
        </w:numPr>
        <w:ind w:left="720" w:hanging="360"/>
        <w:rPr/>
      </w:pPr>
      <w:bookmarkStart w:colFirst="0" w:colLast="0" w:name="_heading=h.1opuj5n" w:id="58"/>
      <w:bookmarkEnd w:id="58"/>
      <w:r w:rsidDel="00000000" w:rsidR="00000000" w:rsidRPr="00000000">
        <w:rPr>
          <w:rtl w:val="0"/>
        </w:rPr>
        <w:t xml:space="preserve">VISIÓN FUTURA - DISEÑO SINGEI</w:t>
      </w:r>
    </w:p>
    <w:p w:rsidR="00000000" w:rsidDel="00000000" w:rsidP="00000000" w:rsidRDefault="00000000" w:rsidRPr="00000000" w14:paraId="0000054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4B">
      <w:pPr>
        <w:pStyle w:val="Heading2"/>
        <w:numPr>
          <w:ilvl w:val="1"/>
          <w:numId w:val="16"/>
        </w:numPr>
        <w:ind w:left="720" w:hanging="720"/>
        <w:rPr/>
      </w:pPr>
      <w:bookmarkStart w:colFirst="0" w:colLast="0" w:name="_heading=h.48pi1tg" w:id="59"/>
      <w:bookmarkEnd w:id="59"/>
      <w:r w:rsidDel="00000000" w:rsidR="00000000" w:rsidRPr="00000000">
        <w:rPr>
          <w:rtl w:val="0"/>
        </w:rPr>
        <w:t xml:space="preserve">Interoperabilidad</w:t>
      </w:r>
    </w:p>
    <w:p w:rsidR="00000000" w:rsidDel="00000000" w:rsidP="00000000" w:rsidRDefault="00000000" w:rsidRPr="00000000" w14:paraId="0000054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SINGEI deberá ser diseñado para interactuar con otros productos y sistemas utilizados por el Gobierno de Colombia. La interoperabilidad incluye:</w:t>
      </w:r>
    </w:p>
    <w:p w:rsidR="00000000" w:rsidDel="00000000" w:rsidP="00000000" w:rsidRDefault="00000000" w:rsidRPr="00000000" w14:paraId="0000054D">
      <w:pPr>
        <w:numPr>
          <w:ilvl w:val="0"/>
          <w:numId w:val="2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Recibir datos de actividad de entidades/instituciones.</w:t>
      </w:r>
    </w:p>
    <w:p w:rsidR="00000000" w:rsidDel="00000000" w:rsidP="00000000" w:rsidRDefault="00000000" w:rsidRPr="00000000" w14:paraId="0000054E">
      <w:pPr>
        <w:numPr>
          <w:ilvl w:val="0"/>
          <w:numId w:val="2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Enviar datos relevantes a otros sistemas:</w:t>
      </w:r>
    </w:p>
    <w:p w:rsidR="00000000" w:rsidDel="00000000" w:rsidP="00000000" w:rsidRDefault="00000000" w:rsidRPr="00000000" w14:paraId="0000054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Algunos de estos sistemas son:</w:t>
      </w:r>
    </w:p>
    <w:p w:rsidR="00000000" w:rsidDel="00000000" w:rsidP="00000000" w:rsidRDefault="00000000" w:rsidRPr="00000000" w14:paraId="000005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Sistema de Monitoreo de bosque y Carbono (SMByC), Inventario Nacional Forestal-INF, Sistema Nacional de Información Forestal-SNIF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articulación entre SINGEI y el SMByC, el IFN y el SNIF es directa y muy relevante al ser el SMByC una fuente principal de información (Entidad/Proveedor) para los cálculos de emisión y absorción del módulo AFOLU. Aunque actualmente la información fluye entre los dos subsistemas, se requiere optimizar el intercambio de información desde el SMByC, el IFN y el SNIF hacia SINGEI.</w:t>
      </w:r>
    </w:p>
    <w:p w:rsidR="00000000" w:rsidDel="00000000" w:rsidP="00000000" w:rsidRDefault="00000000" w:rsidRPr="00000000" w14:paraId="0000055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Registro Nacional de Reducción de Emisiones RENARE.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La articulación entre SINGEI y RENARE permitirá el fortalecimiento del monitoreo y evaluación del impacto que las acciones de mitigación puedan tener o no, sobre el comportamiento de las emisiones de GEI. Esta evaluación, a futuro ayudará a revisar la efectividad de la implementación de acciones de mitigación y sus efectos en cuanto a la reducción de las emisiones de GEI en el país.</w:t>
      </w:r>
    </w:p>
    <w:p w:rsidR="00000000" w:rsidDel="00000000" w:rsidP="00000000" w:rsidRDefault="00000000" w:rsidRPr="00000000" w14:paraId="0000055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Sistema de Contabilidad de Reducción de emisiones y Remociones de GEI SCRR-GEI.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Sistema de Contabilidad procesará la información de emisiones de GEI, las líneas base y los resultados de mitigación de GEI. Todo esto con el fin de identificar el avance en el cumplimiento de las metas nacionales y sectoriales de cambio climático.</w:t>
      </w:r>
    </w:p>
    <w:p w:rsidR="00000000" w:rsidDel="00000000" w:rsidP="00000000" w:rsidRDefault="00000000" w:rsidRPr="00000000" w14:paraId="0000055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Registro Único Ambiental-RUA</w:t>
      </w:r>
      <w:r w:rsidDel="00000000" w:rsidR="00000000" w:rsidRPr="00000000">
        <w:rPr>
          <w:rtl w:val="0"/>
        </w:rPr>
      </w:r>
    </w:p>
    <w:p w:rsidR="00000000" w:rsidDel="00000000" w:rsidP="00000000" w:rsidRDefault="00000000" w:rsidRPr="00000000" w14:paraId="000005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7">
      <w:pPr>
        <w:pStyle w:val="Heading2"/>
        <w:numPr>
          <w:ilvl w:val="1"/>
          <w:numId w:val="16"/>
        </w:numPr>
        <w:ind w:left="720" w:hanging="720"/>
        <w:rPr/>
      </w:pPr>
      <w:bookmarkStart w:colFirst="0" w:colLast="0" w:name="_heading=h.2nusc19" w:id="60"/>
      <w:bookmarkEnd w:id="60"/>
      <w:r w:rsidDel="00000000" w:rsidR="00000000" w:rsidRPr="00000000">
        <w:rPr>
          <w:rtl w:val="0"/>
        </w:rPr>
        <w:t xml:space="preserve">Diseño de sistema flexible</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 flexibilidad en el diseño es necesaria en caso de requerir cambiar la tecnología de la base de datos. El diseño del SINGEI debería ser orientado por variables configurables (por ejemplo, archivos de configuraciones), así que esto requerirá desarrollo de software o un proceso de despliegue intensivo en caso de algún cambio en la tecnología.</w:t>
      </w:r>
    </w:p>
    <w:p w:rsidR="00000000" w:rsidDel="00000000" w:rsidP="00000000" w:rsidRDefault="00000000" w:rsidRPr="00000000" w14:paraId="0000055A">
      <w:pPr>
        <w:jc w:val="both"/>
        <w:rPr>
          <w:rFonts w:ascii="Arial" w:cs="Arial" w:eastAsia="Arial" w:hAnsi="Arial"/>
          <w:color w:val="2f5496"/>
        </w:rPr>
      </w:pPr>
      <w:r w:rsidDel="00000000" w:rsidR="00000000" w:rsidRPr="00000000">
        <w:rPr>
          <w:rtl w:val="0"/>
        </w:rPr>
      </w:r>
    </w:p>
    <w:p w:rsidR="00000000" w:rsidDel="00000000" w:rsidP="00000000" w:rsidRDefault="00000000" w:rsidRPr="00000000" w14:paraId="0000055B">
      <w:pPr>
        <w:pStyle w:val="Heading2"/>
        <w:numPr>
          <w:ilvl w:val="1"/>
          <w:numId w:val="16"/>
        </w:numPr>
        <w:ind w:left="720" w:hanging="720"/>
        <w:rPr/>
      </w:pPr>
      <w:bookmarkStart w:colFirst="0" w:colLast="0" w:name="_heading=h.1302m92" w:id="61"/>
      <w:bookmarkEnd w:id="61"/>
      <w:r w:rsidDel="00000000" w:rsidR="00000000" w:rsidRPr="00000000">
        <w:rPr>
          <w:rtl w:val="0"/>
        </w:rPr>
        <w:t xml:space="preserve">Volumen de datos</w:t>
      </w:r>
    </w:p>
    <w:p w:rsidR="00000000" w:rsidDel="00000000" w:rsidP="00000000" w:rsidRDefault="00000000" w:rsidRPr="00000000" w14:paraId="000005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SINGEI debería rastrear el crecimiento de usuarios, uso del sistema por temporadas, y otras métricas relevantes de uso. Esta información será usada para dar cuenta y planear el uso de internet.</w:t>
      </w:r>
    </w:p>
    <w:p w:rsidR="00000000" w:rsidDel="00000000" w:rsidP="00000000" w:rsidRDefault="00000000" w:rsidRPr="00000000" w14:paraId="000005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E">
      <w:pPr>
        <w:pStyle w:val="Heading2"/>
        <w:numPr>
          <w:ilvl w:val="1"/>
          <w:numId w:val="16"/>
        </w:numPr>
        <w:ind w:left="720" w:hanging="720"/>
        <w:rPr/>
      </w:pPr>
      <w:bookmarkStart w:colFirst="0" w:colLast="0" w:name="_heading=h.3mzq4wv" w:id="62"/>
      <w:bookmarkEnd w:id="62"/>
      <w:r w:rsidDel="00000000" w:rsidR="00000000" w:rsidRPr="00000000">
        <w:rPr>
          <w:rtl w:val="0"/>
        </w:rPr>
        <w:t xml:space="preserve">Opciones de almacenamiento</w:t>
      </w:r>
    </w:p>
    <w:p w:rsidR="00000000" w:rsidDel="00000000" w:rsidP="00000000" w:rsidRDefault="00000000" w:rsidRPr="00000000" w14:paraId="0000055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diseño del SINGEI debería considerar opciones de almacenamiento para archivos de salida que no sean guardados en las bases de datos (ejemplo, reportes generados), los cuáles pueden ser almacenados en archivos del sistema, para lo cual se conceden accesos apropiados de lectura y escritura dentro de la aplicación.</w:t>
      </w:r>
    </w:p>
    <w:p w:rsidR="00000000" w:rsidDel="00000000" w:rsidP="00000000" w:rsidRDefault="00000000" w:rsidRPr="00000000" w14:paraId="0000056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1">
      <w:pPr>
        <w:pStyle w:val="Heading2"/>
        <w:numPr>
          <w:ilvl w:val="1"/>
          <w:numId w:val="16"/>
        </w:numPr>
        <w:ind w:left="720" w:hanging="720"/>
        <w:rPr/>
      </w:pPr>
      <w:bookmarkStart w:colFirst="0" w:colLast="0" w:name="_heading=h.2250f4o" w:id="63"/>
      <w:bookmarkEnd w:id="63"/>
      <w:r w:rsidDel="00000000" w:rsidR="00000000" w:rsidRPr="00000000">
        <w:rPr>
          <w:rtl w:val="0"/>
        </w:rPr>
        <w:t xml:space="preserve">Requisitos de móvil/navegador</w:t>
      </w:r>
    </w:p>
    <w:p w:rsidR="00000000" w:rsidDel="00000000" w:rsidP="00000000" w:rsidRDefault="00000000" w:rsidRPr="00000000" w14:paraId="000005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diseño de SINGEI debe considerar el acceso móvil a través de dispositivos como una Tablet. Además, SINGEI también debería funcionar en la mayoría de los navegadores web comunes, como Microsoft Edge, Firefox y Google Chrome.</w:t>
      </w:r>
    </w:p>
    <w:p w:rsidR="00000000" w:rsidDel="00000000" w:rsidP="00000000" w:rsidRDefault="00000000" w:rsidRPr="00000000" w14:paraId="0000056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4">
      <w:pPr>
        <w:pStyle w:val="Heading2"/>
        <w:numPr>
          <w:ilvl w:val="1"/>
          <w:numId w:val="16"/>
        </w:numPr>
        <w:ind w:left="720" w:hanging="720"/>
        <w:rPr/>
      </w:pPr>
      <w:bookmarkStart w:colFirst="0" w:colLast="0" w:name="_heading=h.haapch" w:id="64"/>
      <w:bookmarkEnd w:id="64"/>
      <w:r w:rsidDel="00000000" w:rsidR="00000000" w:rsidRPr="00000000">
        <w:rPr>
          <w:rtl w:val="0"/>
        </w:rPr>
        <w:t xml:space="preserve">Proceso de negocio</w:t>
      </w:r>
    </w:p>
    <w:p w:rsidR="00000000" w:rsidDel="00000000" w:rsidP="00000000" w:rsidRDefault="00000000" w:rsidRPr="00000000" w14:paraId="00000565">
      <w:pPr>
        <w:numPr>
          <w:ilvl w:val="0"/>
          <w:numId w:val="1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SINGEI tendrá la capacidad de adaptarse a cambios en las metodologías de cálculo, factores asociados, y estructuras del registro de datos de actividad.</w:t>
      </w:r>
    </w:p>
    <w:p w:rsidR="00000000" w:rsidDel="00000000" w:rsidP="00000000" w:rsidRDefault="00000000" w:rsidRPr="00000000" w14:paraId="00000566">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7">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Es importante que la plataforma tenga la flexibilidad para la inclusión de nuevas categorías o cambios metodológicos, así como la posibilidad de reportar que tipo de versión se está empleando en la estimación de cada categoría, generalmente estos cambios obedecen a ajustes en factores cuando se usa un nivel metodológico 1, pero en algunos casos son ajustes en ecuaciones o variables.</w:t>
      </w:r>
    </w:p>
    <w:p w:rsidR="00000000" w:rsidDel="00000000" w:rsidP="00000000" w:rsidRDefault="00000000" w:rsidRPr="00000000" w14:paraId="00000568">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9">
      <w:pPr>
        <w:numPr>
          <w:ilvl w:val="0"/>
          <w:numId w:val="1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IDEAM estará a cargo de la administración/rol superusuario del SINGEI.</w:t>
      </w:r>
    </w:p>
    <w:p w:rsidR="00000000" w:rsidDel="00000000" w:rsidP="00000000" w:rsidRDefault="00000000" w:rsidRPr="00000000" w14:paraId="0000056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B">
      <w:pPr>
        <w:pStyle w:val="Heading2"/>
        <w:numPr>
          <w:ilvl w:val="1"/>
          <w:numId w:val="16"/>
        </w:numPr>
        <w:ind w:left="720" w:hanging="720"/>
        <w:rPr/>
      </w:pPr>
      <w:bookmarkStart w:colFirst="0" w:colLast="0" w:name="_heading=h.319y80a" w:id="65"/>
      <w:bookmarkEnd w:id="65"/>
      <w:r w:rsidDel="00000000" w:rsidR="00000000" w:rsidRPr="00000000">
        <w:rPr>
          <w:rtl w:val="0"/>
        </w:rPr>
        <w:t xml:space="preserve">Propuesta de Arquitectura del sistema</w:t>
      </w:r>
    </w:p>
    <w:p w:rsidR="00000000" w:rsidDel="00000000" w:rsidP="00000000" w:rsidRDefault="00000000" w:rsidRPr="00000000" w14:paraId="0000056C">
      <w:pPr>
        <w:jc w:val="both"/>
        <w:rPr>
          <w:rFonts w:ascii="Arial" w:cs="Arial" w:eastAsia="Arial" w:hAnsi="Arial"/>
          <w:b w:val="1"/>
          <w:color w:val="1f3863"/>
          <w:sz w:val="22"/>
          <w:szCs w:val="22"/>
        </w:rPr>
      </w:pPr>
      <w:r w:rsidDel="00000000" w:rsidR="00000000" w:rsidRPr="00000000">
        <w:rPr>
          <w:rtl w:val="0"/>
        </w:rPr>
      </w:r>
    </w:p>
    <w:p w:rsidR="00000000" w:rsidDel="00000000" w:rsidP="00000000" w:rsidRDefault="00000000" w:rsidRPr="00000000" w14:paraId="0000056D">
      <w:pPr>
        <w:pStyle w:val="Heading3"/>
        <w:numPr>
          <w:ilvl w:val="2"/>
          <w:numId w:val="16"/>
        </w:numPr>
        <w:ind w:left="720" w:hanging="720"/>
        <w:rPr/>
      </w:pPr>
      <w:bookmarkStart w:colFirst="0" w:colLast="0" w:name="_heading=h.1gf8i83" w:id="66"/>
      <w:bookmarkEnd w:id="66"/>
      <w:r w:rsidDel="00000000" w:rsidR="00000000" w:rsidRPr="00000000">
        <w:rPr>
          <w:rtl w:val="0"/>
        </w:rPr>
        <w:t xml:space="preserve">Pila tecnológica</w:t>
      </w:r>
    </w:p>
    <w:p w:rsidR="00000000" w:rsidDel="00000000" w:rsidP="00000000" w:rsidRDefault="00000000" w:rsidRPr="00000000" w14:paraId="0000056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Basados en los requerimientos del SINGEI, el estado futuro del SINGEl puede ser categorizado en cuatro grandes componentes:</w:t>
      </w:r>
    </w:p>
    <w:p w:rsidR="00000000" w:rsidDel="00000000" w:rsidP="00000000" w:rsidRDefault="00000000" w:rsidRPr="00000000" w14:paraId="0000056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0">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APLICACIÓN WEB (Interfaz del usuario)</w:t>
      </w:r>
    </w:p>
    <w:p w:rsidR="00000000" w:rsidDel="00000000" w:rsidP="00000000" w:rsidRDefault="00000000" w:rsidRPr="00000000" w14:paraId="0000057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Una aplicación web será desarrollada para proveer una interfaz general para los usuarios del SINGEI. RALI recomendó una página web personalizada basada en Java technologies (Java 8 and Spring Stack). La tecnología Java es la mejor opción (costo-efectiva) para la construcción y mantenimiento de una aplicación web de este alcance. Dado que SINGEI es una aplicación y no un portal, el equipo de IDEAM preferiría usar tecnologías Java para construir un sitio web completo de SINGEI en lugar de usar Liferay.</w:t>
      </w:r>
    </w:p>
    <w:p w:rsidR="00000000" w:rsidDel="00000000" w:rsidP="00000000" w:rsidRDefault="00000000" w:rsidRPr="00000000" w14:paraId="0000057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3">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BASE DE DATOS</w:t>
      </w:r>
    </w:p>
    <w:p w:rsidR="00000000" w:rsidDel="00000000" w:rsidP="00000000" w:rsidRDefault="00000000" w:rsidRPr="00000000" w14:paraId="000005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base de datos sostendrá la información requerida para todas las actividades aprobadas en los archivos de datos, factores, y cálculos. Además, esta almacenará información para la aplicación web incluyendo identificaciones de usuarios, una auditoría de seguimiento de usuario, y la ubicación de archivos en el servidor de la web.</w:t>
      </w:r>
    </w:p>
    <w:p w:rsidR="00000000" w:rsidDel="00000000" w:rsidP="00000000" w:rsidRDefault="00000000" w:rsidRPr="00000000" w14:paraId="0000057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RALI recomendó usar Oracle 12c (Versión 12.1.0.2) como el sistema de base de datos para este proyecto. Ya que el equipo del IDEAM está usando ya el software Oracle como sistema de gestión de bases de datos relacionales (RDBMS), el sistema puede usar la licencia existente de Oracle para implementarlo. El equipo del IDEAM puede usar sus instancias de base de datos existentes de Oracle para diferentes ambientes (desarrollo/pruebas/producción) para implementar este sistema. El IDEAM necesitará crear una base de datos aparte para alojar los datos del SINGEI.</w:t>
      </w:r>
    </w:p>
    <w:p w:rsidR="00000000" w:rsidDel="00000000" w:rsidP="00000000" w:rsidRDefault="00000000" w:rsidRPr="00000000" w14:paraId="0000057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8">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COMPONENTE ANALÍTICO</w:t>
      </w:r>
    </w:p>
    <w:p w:rsidR="00000000" w:rsidDel="00000000" w:rsidP="00000000" w:rsidRDefault="00000000" w:rsidRPr="00000000" w14:paraId="0000057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sistema SINGEI incluirá un componente analítico que proveerá la habilidad de realizar cálculos estadísticos. El Equipo RALI recomendó usar R (framework/engine), el cual implementa nativamente una serie de funciones estadísticas y métodos necesarios para correr los cálculos. Estará integrado a la aplicación web, y permite a la lógica de cálculo existir independientemente de la implementación de la base de datos.</w:t>
      </w:r>
    </w:p>
    <w:p w:rsidR="00000000" w:rsidDel="00000000" w:rsidP="00000000" w:rsidRDefault="00000000" w:rsidRPr="00000000" w14:paraId="0000057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B">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SISTEMA DE REPORTE//BUSINESS INTELLIGENCE (BI)</w:t>
      </w:r>
    </w:p>
    <w:p w:rsidR="00000000" w:rsidDel="00000000" w:rsidP="00000000" w:rsidRDefault="00000000" w:rsidRPr="00000000" w14:paraId="0000057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equipo RALI recomendó usar Pentaho Business Analytics (versión 5.4) como el principal motor de información para el sistema. El motor de informes del producto está construido usando clases Java que habilitan a los programadores recuperar información de la fuente de datos y desplegarla en los tableros (el cual incluye tablas y gráficos).</w:t>
      </w:r>
    </w:p>
    <w:p w:rsidR="00000000" w:rsidDel="00000000" w:rsidP="00000000" w:rsidRDefault="00000000" w:rsidRPr="00000000" w14:paraId="0000057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E">
      <w:pPr>
        <w:pStyle w:val="Heading3"/>
        <w:numPr>
          <w:ilvl w:val="2"/>
          <w:numId w:val="16"/>
        </w:numPr>
        <w:ind w:left="720" w:hanging="720"/>
        <w:rPr/>
      </w:pPr>
      <w:bookmarkStart w:colFirst="0" w:colLast="0" w:name="_heading=h.40ew0vw" w:id="67"/>
      <w:bookmarkEnd w:id="67"/>
      <w:r w:rsidDel="00000000" w:rsidR="00000000" w:rsidRPr="00000000">
        <w:rPr>
          <w:rtl w:val="0"/>
        </w:rPr>
        <w:t xml:space="preserve">Infraestructura de alojamiento del sistema</w:t>
      </w:r>
    </w:p>
    <w:p w:rsidR="00000000" w:rsidDel="00000000" w:rsidP="00000000" w:rsidRDefault="00000000" w:rsidRPr="00000000" w14:paraId="0000057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RALI alojó el sistema prototipo en las instancias EC2 en la nube de los Servicios Web de Amazon (SWA). El equipo de RALI tiene una cuenta/alias con SWA y utilizará esta cuenta para crear un nuevo EC2 Servidor virtual para este proyecto. </w:t>
      </w:r>
    </w:p>
    <w:p w:rsidR="00000000" w:rsidDel="00000000" w:rsidP="00000000" w:rsidRDefault="00000000" w:rsidRPr="00000000" w14:paraId="0000058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1">
      <w:pPr>
        <w:pStyle w:val="Heading3"/>
        <w:numPr>
          <w:ilvl w:val="2"/>
          <w:numId w:val="16"/>
        </w:numPr>
        <w:ind w:left="720" w:hanging="720"/>
        <w:rPr/>
      </w:pPr>
      <w:bookmarkStart w:colFirst="0" w:colLast="0" w:name="_heading=h.2fk6b3p" w:id="68"/>
      <w:bookmarkEnd w:id="68"/>
      <w:r w:rsidDel="00000000" w:rsidR="00000000" w:rsidRPr="00000000">
        <w:rPr>
          <w:rtl w:val="0"/>
        </w:rPr>
        <w:t xml:space="preserve">Registro de errores</w:t>
      </w:r>
    </w:p>
    <w:p w:rsidR="00000000" w:rsidDel="00000000" w:rsidP="00000000" w:rsidRDefault="00000000" w:rsidRPr="00000000" w14:paraId="0000058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Cada componente mayor listado más arriba en la Pila Tecnológica tiene capacidades de registro de errores. Es necesario asegurar que el registro de errores para cada parte esté habilitado y configurado. El equipo de desarrollo del SINGEI puede revisar los registros de errores para comprobar o solucionar problemas de algún error que ocurra. </w:t>
      </w:r>
    </w:p>
    <w:p w:rsidR="00000000" w:rsidDel="00000000" w:rsidP="00000000" w:rsidRDefault="00000000" w:rsidRPr="00000000" w14:paraId="000005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4">
      <w:pPr>
        <w:pStyle w:val="Heading3"/>
        <w:numPr>
          <w:ilvl w:val="2"/>
          <w:numId w:val="16"/>
        </w:numPr>
        <w:ind w:left="720" w:hanging="720"/>
        <w:rPr/>
      </w:pPr>
      <w:bookmarkStart w:colFirst="0" w:colLast="0" w:name="_heading=h.upglbi" w:id="69"/>
      <w:bookmarkEnd w:id="69"/>
      <w:r w:rsidDel="00000000" w:rsidR="00000000" w:rsidRPr="00000000">
        <w:rPr>
          <w:rtl w:val="0"/>
        </w:rPr>
        <w:t xml:space="preserve">Sistema y seguridad de datos</w:t>
      </w:r>
    </w:p>
    <w:p w:rsidR="00000000" w:rsidDel="00000000" w:rsidP="00000000" w:rsidRDefault="00000000" w:rsidRPr="00000000" w14:paraId="00000585">
      <w:pPr>
        <w:jc w:val="both"/>
        <w:rPr>
          <w:rFonts w:ascii="Arial" w:cs="Arial" w:eastAsia="Arial" w:hAnsi="Arial"/>
          <w:b w:val="1"/>
          <w:color w:val="1f3863"/>
          <w:sz w:val="22"/>
          <w:szCs w:val="22"/>
        </w:rPr>
      </w:pPr>
      <w:r w:rsidDel="00000000" w:rsidR="00000000" w:rsidRPr="00000000">
        <w:rPr>
          <w:rtl w:val="0"/>
        </w:rPr>
      </w:r>
    </w:p>
    <w:p w:rsidR="00000000" w:rsidDel="00000000" w:rsidP="00000000" w:rsidRDefault="00000000" w:rsidRPr="00000000" w14:paraId="00000586">
      <w:pPr>
        <w:numPr>
          <w:ilvl w:val="0"/>
          <w:numId w:val="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ADMINISTRACIÓN DE SEGURIDAD DEL SISTEMA</w:t>
      </w:r>
    </w:p>
    <w:p w:rsidR="00000000" w:rsidDel="00000000" w:rsidP="00000000" w:rsidRDefault="00000000" w:rsidRPr="00000000" w14:paraId="0000058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Uno o más administradores de los servidores/sistemas (o base de datos) operará el sistema a un nivel de IT/sistema de administración (ej. el servidor web, instancia/servidor base de datos, y servidor Pentaho). Estos administradores del sistema tendrán acceso ilimitado, o acceso a todo en esos servidores. Por tanto, los dueños del sistema deberán examinar adecuadamente los antecedentes de esos administradores de sistemas.</w:t>
      </w:r>
    </w:p>
    <w:p w:rsidR="00000000" w:rsidDel="00000000" w:rsidP="00000000" w:rsidRDefault="00000000" w:rsidRPr="00000000" w14:paraId="0000058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9">
      <w:pPr>
        <w:numPr>
          <w:ilvl w:val="0"/>
          <w:numId w:val="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SEGURIDAD DE LOS DATOS</w:t>
      </w:r>
    </w:p>
    <w:p w:rsidR="00000000" w:rsidDel="00000000" w:rsidP="00000000" w:rsidRDefault="00000000" w:rsidRPr="00000000" w14:paraId="000005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del Administrador IT (cubierto en la sección anterior “Seguridad del Sistema”), se puede acceder a los datos sólo a través de la aplicación web. La aplicación web tiene roles de usuarios y sus correspondientes niveles de acceso.</w:t>
      </w:r>
    </w:p>
    <w:p w:rsidR="00000000" w:rsidDel="00000000" w:rsidP="00000000" w:rsidRDefault="00000000" w:rsidRPr="00000000" w14:paraId="0000058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C">
      <w:pPr>
        <w:numPr>
          <w:ilvl w:val="0"/>
          <w:numId w:val="6"/>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SEGURIDAD DE LA APLICACIÓN DEL SISTEMA</w:t>
      </w:r>
    </w:p>
    <w:p w:rsidR="00000000" w:rsidDel="00000000" w:rsidP="00000000" w:rsidRDefault="00000000" w:rsidRPr="00000000" w14:paraId="0000058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Basados en el rol del usuario de los usuarios registrados, algunas acciones estarán permitidas únicamente para algunos roles de usuario.</w:t>
      </w:r>
    </w:p>
    <w:p w:rsidR="00000000" w:rsidDel="00000000" w:rsidP="00000000" w:rsidRDefault="00000000" w:rsidRPr="00000000" w14:paraId="0000058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8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1">
      <w:pPr>
        <w:pStyle w:val="Heading2"/>
        <w:numPr>
          <w:ilvl w:val="1"/>
          <w:numId w:val="16"/>
        </w:numPr>
        <w:ind w:left="720" w:hanging="720"/>
        <w:rPr>
          <w:color w:val="2f5496"/>
        </w:rPr>
      </w:pPr>
      <w:bookmarkStart w:colFirst="0" w:colLast="0" w:name="_heading=h.3ep43zb" w:id="70"/>
      <w:bookmarkEnd w:id="70"/>
      <w:r w:rsidDel="00000000" w:rsidR="00000000" w:rsidRPr="00000000">
        <w:rPr>
          <w:rtl w:val="0"/>
        </w:rPr>
        <w:t xml:space="preserve">Componentes/servidores claves en la arquitectura</w:t>
      </w:r>
      <w:r w:rsidDel="00000000" w:rsidR="00000000" w:rsidRPr="00000000">
        <w:rPr>
          <w:rtl w:val="0"/>
        </w:rPr>
      </w:r>
    </w:p>
    <w:p w:rsidR="00000000" w:rsidDel="00000000" w:rsidP="00000000" w:rsidRDefault="00000000" w:rsidRPr="00000000" w14:paraId="00000592">
      <w:pPr>
        <w:jc w:val="both"/>
        <w:rPr>
          <w:rFonts w:ascii="Arial" w:cs="Arial" w:eastAsia="Arial" w:hAnsi="Arial"/>
          <w:b w:val="1"/>
          <w:color w:val="1f3863"/>
          <w:sz w:val="22"/>
          <w:szCs w:val="22"/>
        </w:rPr>
      </w:pPr>
      <w:r w:rsidDel="00000000" w:rsidR="00000000" w:rsidRPr="00000000">
        <w:rPr>
          <w:rtl w:val="0"/>
        </w:rPr>
      </w:r>
    </w:p>
    <w:p w:rsidR="00000000" w:rsidDel="00000000" w:rsidP="00000000" w:rsidRDefault="00000000" w:rsidRPr="00000000" w14:paraId="00000593">
      <w:pPr>
        <w:pStyle w:val="Heading3"/>
        <w:numPr>
          <w:ilvl w:val="2"/>
          <w:numId w:val="16"/>
        </w:numPr>
        <w:ind w:left="720" w:hanging="720"/>
        <w:rPr/>
      </w:pPr>
      <w:bookmarkStart w:colFirst="0" w:colLast="0" w:name="_heading=h.1tuee74" w:id="71"/>
      <w:bookmarkEnd w:id="71"/>
      <w:r w:rsidDel="00000000" w:rsidR="00000000" w:rsidRPr="00000000">
        <w:rPr>
          <w:rtl w:val="0"/>
        </w:rPr>
        <w:t xml:space="preserve">Servidor Aplicación Web</w:t>
      </w:r>
    </w:p>
    <w:p w:rsidR="00000000" w:rsidDel="00000000" w:rsidP="00000000" w:rsidRDefault="00000000" w:rsidRPr="00000000" w14:paraId="0000059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servidor de la aplicación web aloja la aplicación web del SINGEI, y es la principal interfaz entre los usuarios y el sistema SINGEI. RALI implementó el ambiente Elastic Beanstalk proporcionado por el Servidor Web de Amazon (SWA).</w:t>
      </w:r>
    </w:p>
    <w:p w:rsidR="00000000" w:rsidDel="00000000" w:rsidP="00000000" w:rsidRDefault="00000000" w:rsidRPr="00000000" w14:paraId="0000059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ambiente hospeda el Servidor Web Tomcat. RALI desarrolló un prototipo de aplicación web en Java, usando el marco Spring. Los archivos de Excel cargados por los usuarios y generados por la aplicación son almacenados en la instancia Linux EC2 la cual hace parte del ambiente Elastic Beanstalk.</w:t>
      </w:r>
    </w:p>
    <w:p w:rsidR="00000000" w:rsidDel="00000000" w:rsidP="00000000" w:rsidRDefault="00000000" w:rsidRPr="00000000" w14:paraId="0000059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Servidor de la aplicación web también tiene R (motor) instalado en la instancia Linux EC2. La aplicación web está integrada al motor R para hacer funcionar los Scripts R de la aplicación web</w:t>
      </w:r>
    </w:p>
    <w:p w:rsidR="00000000" w:rsidDel="00000000" w:rsidP="00000000" w:rsidRDefault="00000000" w:rsidRPr="00000000" w14:paraId="000005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A">
      <w:pPr>
        <w:pStyle w:val="Heading3"/>
        <w:numPr>
          <w:ilvl w:val="2"/>
          <w:numId w:val="16"/>
        </w:numPr>
        <w:ind w:left="720" w:hanging="720"/>
        <w:rPr/>
      </w:pPr>
      <w:bookmarkStart w:colFirst="0" w:colLast="0" w:name="_heading=h.4du1wux" w:id="72"/>
      <w:bookmarkEnd w:id="72"/>
      <w:r w:rsidDel="00000000" w:rsidR="00000000" w:rsidRPr="00000000">
        <w:rPr>
          <w:rtl w:val="0"/>
        </w:rPr>
        <w:t xml:space="preserve">Servidor de la base de datos Oracle</w:t>
      </w:r>
    </w:p>
    <w:p w:rsidR="00000000" w:rsidDel="00000000" w:rsidP="00000000" w:rsidRDefault="00000000" w:rsidRPr="00000000" w14:paraId="0000059B">
      <w:pPr>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Todos los datos reunidos, procesados y reportados por la aplicación web son almacenados en una base de datos Oracle. Además, la base de datos también guarda listas maestras (tales como regiones, departamentos, etc) las cuales son usadas para los controles de calidad de datos. </w:t>
      </w:r>
      <w:r w:rsidDel="00000000" w:rsidR="00000000" w:rsidRPr="00000000">
        <w:rPr>
          <w:rtl w:val="0"/>
        </w:rPr>
      </w:r>
    </w:p>
    <w:p w:rsidR="00000000" w:rsidDel="00000000" w:rsidP="00000000" w:rsidRDefault="00000000" w:rsidRPr="00000000" w14:paraId="0000059C">
      <w:pPr>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59D">
      <w:pPr>
        <w:pStyle w:val="Heading3"/>
        <w:numPr>
          <w:ilvl w:val="2"/>
          <w:numId w:val="16"/>
        </w:numPr>
        <w:ind w:left="720" w:hanging="720"/>
        <w:rPr/>
      </w:pPr>
      <w:bookmarkStart w:colFirst="0" w:colLast="0" w:name="_heading=h.2szc72q" w:id="73"/>
      <w:bookmarkEnd w:id="73"/>
      <w:r w:rsidDel="00000000" w:rsidR="00000000" w:rsidRPr="00000000">
        <w:rPr>
          <w:rtl w:val="0"/>
        </w:rPr>
        <w:t xml:space="preserve">Pentaho Server</w:t>
      </w:r>
    </w:p>
    <w:p w:rsidR="00000000" w:rsidDel="00000000" w:rsidP="00000000" w:rsidRDefault="00000000" w:rsidRPr="00000000" w14:paraId="0000059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Servidor Pentaho es una Instancia AWS EC2 que corre el Sistema Operativo Servidor Windows 2012. Este Servidor tiene instalado la Edición 8.0 del Pentaho.</w:t>
      </w:r>
    </w:p>
    <w:p w:rsidR="00000000" w:rsidDel="00000000" w:rsidP="00000000" w:rsidRDefault="00000000" w:rsidRPr="00000000" w14:paraId="0000059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reportes Pentaho se pueden desarrollar conectándose a este servidor. En el futuro, los reportes pueden ser publicados en la carpeta adecuada lo cual permitirá a la aplicación Web cargar los reportes en un iFrame en la aplicación.</w:t>
      </w:r>
    </w:p>
    <w:p w:rsidR="00000000" w:rsidDel="00000000" w:rsidP="00000000" w:rsidRDefault="00000000" w:rsidRPr="00000000" w14:paraId="000005A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Figura 4-1 presenta el diagrama de arquitectura del sistema propuesto para el SINGEI. Esta figura representa los diversos componentes de software y cómo interactuarán entre sí para respaldar los requisitos funcionales y no funcionales del sistema.</w:t>
      </w:r>
    </w:p>
    <w:p w:rsidR="00000000" w:rsidDel="00000000" w:rsidP="00000000" w:rsidRDefault="00000000" w:rsidRPr="00000000" w14:paraId="000005A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18"/>
          <w:szCs w:val="18"/>
          <w:u w:val="none"/>
          <w:shd w:fill="auto" w:val="clear"/>
          <w:vertAlign w:val="baseline"/>
        </w:rPr>
      </w:pPr>
      <w:bookmarkStart w:colFirst="0" w:colLast="0" w:name="_heading=h.184mhaj" w:id="74"/>
      <w:bookmarkEnd w:id="74"/>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t xml:space="preserve">Figura 4-1. Diagrama de Arquitectura del SINGEI</w:t>
      </w:r>
    </w:p>
    <w:p w:rsidR="00000000" w:rsidDel="00000000" w:rsidP="00000000" w:rsidRDefault="00000000" w:rsidRPr="00000000" w14:paraId="000005A5">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84102" cy="3279543"/>
            <wp:effectExtent b="0" l="0" r="0" t="0"/>
            <wp:docPr id="246" name="image9.png"/>
            <a:graphic>
              <a:graphicData uri="http://schemas.openxmlformats.org/drawingml/2006/picture">
                <pic:pic>
                  <pic:nvPicPr>
                    <pic:cNvPr id="0" name="image9.png"/>
                    <pic:cNvPicPr preferRelativeResize="0"/>
                  </pic:nvPicPr>
                  <pic:blipFill>
                    <a:blip r:embed="rId17"/>
                    <a:srcRect b="0" l="0" r="0" t="3479"/>
                    <a:stretch>
                      <a:fillRect/>
                    </a:stretch>
                  </pic:blipFill>
                  <pic:spPr>
                    <a:xfrm>
                      <a:off x="0" y="0"/>
                      <a:ext cx="5284102" cy="3279543"/>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w:t>
      </w:r>
    </w:p>
    <w:p w:rsidR="00000000" w:rsidDel="00000000" w:rsidP="00000000" w:rsidRDefault="00000000" w:rsidRPr="00000000" w14:paraId="000005A7">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8">
      <w:pPr>
        <w:keepNext w:val="1"/>
        <w:keepLines w:val="1"/>
        <w:spacing w:before="240" w:lineRule="auto"/>
        <w:ind w:left="720" w:hanging="360"/>
        <w:rPr>
          <w:rFonts w:ascii="Arial" w:cs="Arial" w:eastAsia="Arial" w:hAnsi="Arial"/>
          <w:color w:val="2f5496"/>
          <w:sz w:val="28"/>
          <w:szCs w:val="28"/>
        </w:rPr>
      </w:pPr>
      <w:bookmarkStart w:colFirst="0" w:colLast="0" w:name="_heading=h.3s49zyc" w:id="75"/>
      <w:bookmarkEnd w:id="75"/>
      <w:r w:rsidDel="00000000" w:rsidR="00000000" w:rsidRPr="00000000">
        <w:rPr>
          <w:rFonts w:ascii="Arial" w:cs="Arial" w:eastAsia="Arial" w:hAnsi="Arial"/>
          <w:color w:val="2f5496"/>
          <w:sz w:val="28"/>
          <w:szCs w:val="28"/>
          <w:rtl w:val="0"/>
        </w:rPr>
        <w:t xml:space="preserve">ANEXO 1</w:t>
      </w:r>
    </w:p>
    <w:p w:rsidR="00000000" w:rsidDel="00000000" w:rsidP="00000000" w:rsidRDefault="00000000" w:rsidRPr="00000000" w14:paraId="000005A9">
      <w:pPr>
        <w:jc w:val="both"/>
        <w:rPr>
          <w:rFonts w:ascii="Arial" w:cs="Arial" w:eastAsia="Arial" w:hAnsi="Arial"/>
        </w:rPr>
      </w:pPr>
      <w:r w:rsidDel="00000000" w:rsidR="00000000" w:rsidRPr="00000000">
        <w:rPr>
          <w:rFonts w:ascii="Arial" w:cs="Arial" w:eastAsia="Arial" w:hAnsi="Arial"/>
          <w:rtl w:val="0"/>
        </w:rPr>
        <w:t xml:space="preserve">Categorías y subcategorías por módulo estimadas en el último ciclo del INGEI y del inventario nacional de carbono negro, presentado ante la CMNUCC en el BUR3.</w:t>
      </w:r>
    </w:p>
    <w:p w:rsidR="00000000" w:rsidDel="00000000" w:rsidP="00000000" w:rsidRDefault="00000000" w:rsidRPr="00000000" w14:paraId="000005AA">
      <w:pPr>
        <w:jc w:val="both"/>
        <w:rPr>
          <w:rFonts w:ascii="Arial" w:cs="Arial" w:eastAsia="Arial" w:hAnsi="Arial"/>
        </w:rPr>
      </w:pPr>
      <w:r w:rsidDel="00000000" w:rsidR="00000000" w:rsidRPr="00000000">
        <w:rPr>
          <w:rtl w:val="0"/>
        </w:rPr>
      </w:r>
    </w:p>
    <w:p w:rsidR="00000000" w:rsidDel="00000000" w:rsidP="00000000" w:rsidRDefault="00000000" w:rsidRPr="00000000" w14:paraId="000005AB">
      <w:pPr>
        <w:keepNext w:val="1"/>
        <w:spacing w:after="200" w:lineRule="auto"/>
        <w:jc w:val="center"/>
        <w:rPr>
          <w:i w:val="1"/>
          <w:color w:val="44546a"/>
          <w:sz w:val="18"/>
          <w:szCs w:val="18"/>
        </w:rPr>
      </w:pPr>
      <w:r w:rsidDel="00000000" w:rsidR="00000000" w:rsidRPr="00000000">
        <w:rPr>
          <w:i w:val="1"/>
          <w:color w:val="44546a"/>
          <w:sz w:val="18"/>
          <w:szCs w:val="18"/>
          <w:rtl w:val="0"/>
        </w:rPr>
        <w:t xml:space="preserve">Categorías del INGEI estimadas y reportadas en el BUR3</w:t>
      </w:r>
    </w:p>
    <w:tbl>
      <w:tblPr>
        <w:tblStyle w:val="Table7"/>
        <w:tblW w:w="89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9"/>
        <w:gridCol w:w="1384"/>
        <w:gridCol w:w="1606"/>
        <w:gridCol w:w="4697"/>
        <w:tblGridChange w:id="0">
          <w:tblGrid>
            <w:gridCol w:w="1239"/>
            <w:gridCol w:w="1384"/>
            <w:gridCol w:w="1606"/>
            <w:gridCol w:w="4697"/>
          </w:tblGrid>
        </w:tblGridChange>
      </w:tblGrid>
      <w:tr>
        <w:trPr>
          <w:cantSplit w:val="0"/>
          <w:tblHeader w:val="0"/>
        </w:trPr>
        <w:tc>
          <w:tcPr>
            <w:shd w:fill="auto" w:val="clear"/>
          </w:tcPr>
          <w:p w:rsidR="00000000" w:rsidDel="00000000" w:rsidP="00000000" w:rsidRDefault="00000000" w:rsidRPr="00000000" w14:paraId="000005A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MÓDULO</w:t>
            </w:r>
          </w:p>
        </w:tc>
        <w:tc>
          <w:tcPr>
            <w:shd w:fill="auto" w:val="clear"/>
          </w:tcPr>
          <w:p w:rsidR="00000000" w:rsidDel="00000000" w:rsidP="00000000" w:rsidRDefault="00000000" w:rsidRPr="00000000" w14:paraId="000005A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CAPÍTULO</w:t>
            </w:r>
          </w:p>
        </w:tc>
        <w:tc>
          <w:tcPr>
            <w:shd w:fill="auto" w:val="clear"/>
          </w:tcPr>
          <w:p w:rsidR="00000000" w:rsidDel="00000000" w:rsidP="00000000" w:rsidRDefault="00000000" w:rsidRPr="00000000" w14:paraId="000005A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CATEGORÍA</w:t>
            </w:r>
          </w:p>
        </w:tc>
        <w:tc>
          <w:tcPr>
            <w:shd w:fill="auto" w:val="clear"/>
          </w:tcPr>
          <w:p w:rsidR="00000000" w:rsidDel="00000000" w:rsidP="00000000" w:rsidRDefault="00000000" w:rsidRPr="00000000" w14:paraId="000005A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SUBCATEGORÍA</w:t>
            </w:r>
          </w:p>
        </w:tc>
      </w:tr>
      <w:tr>
        <w:trPr>
          <w:cantSplit w:val="0"/>
          <w:tblHeader w:val="0"/>
        </w:trPr>
        <w:tc>
          <w:tcPr>
            <w:vMerge w:val="restart"/>
            <w:shd w:fill="auto" w:val="clear"/>
          </w:tcPr>
          <w:p w:rsidR="00000000" w:rsidDel="00000000" w:rsidP="00000000" w:rsidRDefault="00000000" w:rsidRPr="00000000" w14:paraId="000005B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Energía</w:t>
            </w:r>
          </w:p>
        </w:tc>
        <w:tc>
          <w:tcPr>
            <w:vMerge w:val="restart"/>
            <w:shd w:fill="auto" w:val="clear"/>
          </w:tcPr>
          <w:p w:rsidR="00000000" w:rsidDel="00000000" w:rsidP="00000000" w:rsidRDefault="00000000" w:rsidRPr="00000000" w14:paraId="000005B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 Actividades de quema de</w:t>
            </w:r>
          </w:p>
          <w:p w:rsidR="00000000" w:rsidDel="00000000" w:rsidP="00000000" w:rsidRDefault="00000000" w:rsidRPr="00000000" w14:paraId="000005B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combustible</w:t>
            </w:r>
          </w:p>
        </w:tc>
        <w:tc>
          <w:tcPr>
            <w:vMerge w:val="restart"/>
            <w:shd w:fill="auto" w:val="clear"/>
          </w:tcPr>
          <w:p w:rsidR="00000000" w:rsidDel="00000000" w:rsidP="00000000" w:rsidRDefault="00000000" w:rsidRPr="00000000" w14:paraId="000005B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 Industrias de la energía</w:t>
            </w:r>
          </w:p>
        </w:tc>
        <w:tc>
          <w:tcPr>
            <w:shd w:fill="auto" w:val="clear"/>
          </w:tcPr>
          <w:p w:rsidR="00000000" w:rsidDel="00000000" w:rsidP="00000000" w:rsidRDefault="00000000" w:rsidRPr="00000000" w14:paraId="000005B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1A1a Producción de electricidad y calor como actividad principal</w:t>
            </w:r>
          </w:p>
        </w:tc>
      </w:tr>
      <w:tr>
        <w:trPr>
          <w:cantSplit w:val="0"/>
          <w:tblHeader w:val="0"/>
        </w:trPr>
        <w:tc>
          <w:tcPr>
            <w:vMerge w:val="continue"/>
            <w:shd w:fill="auto" w:val="clear"/>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B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1A1b Refinación de petróleo</w:t>
            </w:r>
          </w:p>
        </w:tc>
      </w:tr>
      <w:tr>
        <w:trPr>
          <w:cantSplit w:val="0"/>
          <w:tblHeader w:val="0"/>
        </w:trPr>
        <w:tc>
          <w:tcPr>
            <w:vMerge w:val="continue"/>
            <w:shd w:fill="auto" w:val="clear"/>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B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energéticas</w:t>
            </w:r>
          </w:p>
        </w:tc>
      </w:tr>
      <w:tr>
        <w:trPr>
          <w:cantSplit w:val="0"/>
          <w:tblHeader w:val="0"/>
        </w:trPr>
        <w:tc>
          <w:tcPr>
            <w:vMerge w:val="continue"/>
            <w:shd w:fill="auto"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5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 Industrias</w:t>
            </w:r>
          </w:p>
          <w:p w:rsidR="00000000" w:rsidDel="00000000" w:rsidP="00000000" w:rsidRDefault="00000000" w:rsidRPr="00000000" w14:paraId="000005C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manufactureras y de la construcción</w:t>
            </w:r>
          </w:p>
        </w:tc>
        <w:tc>
          <w:tcPr>
            <w:shd w:fill="auto" w:val="clear"/>
          </w:tcPr>
          <w:p w:rsidR="00000000" w:rsidDel="00000000" w:rsidP="00000000" w:rsidRDefault="00000000" w:rsidRPr="00000000" w14:paraId="000005C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1A2a Hierro y acero</w:t>
            </w:r>
          </w:p>
        </w:tc>
      </w:tr>
      <w:tr>
        <w:trPr>
          <w:cantSplit w:val="0"/>
          <w:tblHeader w:val="0"/>
        </w:trPr>
        <w:tc>
          <w:tcPr>
            <w:vMerge w:val="continue"/>
            <w:shd w:fill="auto" w:val="clea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C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1A2b Metales no ferrosos</w:t>
            </w:r>
          </w:p>
        </w:tc>
      </w:tr>
      <w:tr>
        <w:trPr>
          <w:cantSplit w:val="0"/>
          <w:tblHeader w:val="0"/>
        </w:trPr>
        <w:tc>
          <w:tcPr>
            <w:vMerge w:val="continue"/>
            <w:shd w:fill="auto" w:val="clea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C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1A2c Productos químicos</w:t>
            </w:r>
          </w:p>
        </w:tc>
      </w:tr>
      <w:tr>
        <w:trPr>
          <w:cantSplit w:val="0"/>
          <w:tblHeader w:val="0"/>
        </w:trPr>
        <w:tc>
          <w:tcPr>
            <w:vMerge w:val="continue"/>
            <w:shd w:fill="auto"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C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1A2d Pulpa, papel e imprenta</w:t>
            </w:r>
          </w:p>
        </w:tc>
      </w:tr>
      <w:tr>
        <w:trPr>
          <w:cantSplit w:val="0"/>
          <w:tblHeader w:val="0"/>
        </w:trPr>
        <w:tc>
          <w:tcPr>
            <w:vMerge w:val="continue"/>
            <w:shd w:fill="auto" w:val="clea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D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1A2e Procesamiento de alimentos, bebidas y tabaco</w:t>
            </w:r>
          </w:p>
        </w:tc>
      </w:tr>
      <w:tr>
        <w:trPr>
          <w:cantSplit w:val="0"/>
          <w:tblHeader w:val="0"/>
        </w:trPr>
        <w:tc>
          <w:tcPr>
            <w:vMerge w:val="continue"/>
            <w:shd w:fill="auto" w:val="clea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D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1A2f Minerales no metálicos</w:t>
            </w:r>
          </w:p>
        </w:tc>
      </w:tr>
      <w:tr>
        <w:trPr>
          <w:cantSplit w:val="0"/>
          <w:tblHeader w:val="0"/>
        </w:trPr>
        <w:tc>
          <w:tcPr>
            <w:vMerge w:val="continue"/>
            <w:shd w:fill="auto" w:val="clea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D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1A2g Equipo de transporte</w:t>
            </w:r>
          </w:p>
        </w:tc>
      </w:tr>
      <w:tr>
        <w:trPr>
          <w:cantSplit w:val="0"/>
          <w:tblHeader w:val="0"/>
        </w:trPr>
        <w:tc>
          <w:tcPr>
            <w:vMerge w:val="continue"/>
            <w:shd w:fill="auto" w:val="clea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D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1A2h Maquinaria</w:t>
            </w:r>
          </w:p>
        </w:tc>
      </w:tr>
      <w:tr>
        <w:trPr>
          <w:cantSplit w:val="0"/>
          <w:tblHeader w:val="0"/>
        </w:trPr>
        <w:tc>
          <w:tcPr>
            <w:vMerge w:val="continue"/>
            <w:shd w:fill="auto" w:val="clea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E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1A2i Minería y cantería</w:t>
            </w:r>
          </w:p>
        </w:tc>
      </w:tr>
      <w:tr>
        <w:trPr>
          <w:cantSplit w:val="0"/>
          <w:tblHeader w:val="0"/>
        </w:trPr>
        <w:tc>
          <w:tcPr>
            <w:vMerge w:val="continue"/>
            <w:shd w:fill="auto" w:val="clea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1A2j Madera y productos de la madera</w:t>
            </w:r>
          </w:p>
        </w:tc>
      </w:tr>
      <w:tr>
        <w:trPr>
          <w:cantSplit w:val="0"/>
          <w:tblHeader w:val="0"/>
        </w:trPr>
        <w:tc>
          <w:tcPr>
            <w:vMerge w:val="continue"/>
            <w:shd w:fill="auto" w:val="clea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1A2k Construcción</w:t>
            </w:r>
          </w:p>
        </w:tc>
      </w:tr>
      <w:tr>
        <w:trPr>
          <w:cantSplit w:val="0"/>
          <w:tblHeader w:val="0"/>
        </w:trPr>
        <w:tc>
          <w:tcPr>
            <w:vMerge w:val="continue"/>
            <w:shd w:fill="auto" w:val="clea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E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1A2l Textiles y cueros</w:t>
            </w:r>
          </w:p>
        </w:tc>
      </w:tr>
      <w:tr>
        <w:trPr>
          <w:cantSplit w:val="0"/>
          <w:tblHeader w:val="0"/>
        </w:trPr>
        <w:tc>
          <w:tcPr>
            <w:vMerge w:val="continue"/>
            <w:shd w:fill="auto" w:val="cle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F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1A2m Industria no especificada</w:t>
            </w:r>
          </w:p>
        </w:tc>
      </w:tr>
      <w:tr>
        <w:trPr>
          <w:cantSplit w:val="0"/>
          <w:tblHeader w:val="0"/>
        </w:trPr>
        <w:tc>
          <w:tcPr>
            <w:vMerge w:val="continue"/>
            <w:shd w:fill="auto" w:val="cle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5F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 Transporte</w:t>
            </w:r>
          </w:p>
        </w:tc>
        <w:tc>
          <w:tcPr>
            <w:shd w:fill="auto" w:val="clear"/>
          </w:tcPr>
          <w:p w:rsidR="00000000" w:rsidDel="00000000" w:rsidP="00000000" w:rsidRDefault="00000000" w:rsidRPr="00000000" w14:paraId="000005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tc>
      </w:tr>
      <w:tr>
        <w:trPr>
          <w:cantSplit w:val="0"/>
          <w:tblHeader w:val="0"/>
        </w:trPr>
        <w:tc>
          <w:tcPr>
            <w:vMerge w:val="continue"/>
            <w:shd w:fill="auto" w:val="clea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F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blHeader w:val="0"/>
        </w:trPr>
        <w:tc>
          <w:tcPr>
            <w:vMerge w:val="continue"/>
            <w:shd w:fill="auto" w:val="clea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5F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1A3c Ferrocarriles</w:t>
            </w:r>
          </w:p>
        </w:tc>
      </w:tr>
      <w:tr>
        <w:trPr>
          <w:cantSplit w:val="0"/>
          <w:tblHeader w:val="0"/>
        </w:trPr>
        <w:tc>
          <w:tcPr>
            <w:vMerge w:val="continue"/>
            <w:shd w:fill="auto" w:val="cle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0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1A3d Navegación marítima y fluvial</w:t>
            </w:r>
          </w:p>
        </w:tc>
      </w:tr>
      <w:tr>
        <w:trPr>
          <w:cantSplit w:val="0"/>
          <w:tblHeader w:val="0"/>
        </w:trPr>
        <w:tc>
          <w:tcPr>
            <w:vMerge w:val="continue"/>
            <w:shd w:fill="auto" w:val="clea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0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1A3e Otro tipo de transporte</w:t>
            </w:r>
          </w:p>
        </w:tc>
      </w:tr>
      <w:tr>
        <w:trPr>
          <w:cantSplit w:val="0"/>
          <w:tblHeader w:val="0"/>
        </w:trPr>
        <w:tc>
          <w:tcPr>
            <w:vMerge w:val="continue"/>
            <w:shd w:fill="auto" w:val="clea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 Otros sectores</w:t>
            </w:r>
          </w:p>
        </w:tc>
        <w:tc>
          <w:tcPr>
            <w:shd w:fill="auto" w:val="clear"/>
          </w:tcPr>
          <w:p w:rsidR="00000000" w:rsidDel="00000000" w:rsidP="00000000" w:rsidRDefault="00000000" w:rsidRPr="00000000" w14:paraId="0000060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1A4a comercial e institucional</w:t>
            </w:r>
          </w:p>
        </w:tc>
      </w:tr>
      <w:tr>
        <w:trPr>
          <w:cantSplit w:val="0"/>
          <w:tblHeader w:val="0"/>
        </w:trPr>
        <w:tc>
          <w:tcPr>
            <w:vMerge w:val="continue"/>
            <w:shd w:fill="auto" w:val="clea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0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1A4b Residencial</w:t>
            </w:r>
          </w:p>
        </w:tc>
      </w:tr>
      <w:tr>
        <w:trPr>
          <w:cantSplit w:val="0"/>
          <w:tblHeader w:val="0"/>
        </w:trPr>
        <w:tc>
          <w:tcPr>
            <w:vMerge w:val="continue"/>
            <w:shd w:fill="auto" w:val="clea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 Piscifactoría (Estacionaria)</w:t>
            </w:r>
          </w:p>
        </w:tc>
      </w:tr>
      <w:tr>
        <w:trPr>
          <w:cantSplit w:val="0"/>
          <w:tblHeader w:val="0"/>
        </w:trPr>
        <w:tc>
          <w:tcPr>
            <w:vMerge w:val="continue"/>
            <w:shd w:fill="auto" w:val="clea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1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 Emisiones fugitivas provenientes de la fabricación de combustible</w:t>
            </w:r>
          </w:p>
        </w:tc>
        <w:tc>
          <w:tcPr>
            <w:shd w:fill="auto" w:val="clear"/>
          </w:tcPr>
          <w:p w:rsidR="00000000" w:rsidDel="00000000" w:rsidP="00000000" w:rsidRDefault="00000000" w:rsidRPr="00000000" w14:paraId="000006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1B1 Combustibles</w:t>
            </w:r>
          </w:p>
          <w:p w:rsidR="00000000" w:rsidDel="00000000" w:rsidP="00000000" w:rsidRDefault="00000000" w:rsidRPr="00000000" w14:paraId="0000061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sólidos</w:t>
            </w:r>
          </w:p>
        </w:tc>
        <w:tc>
          <w:tcPr>
            <w:shd w:fill="auto" w:val="clear"/>
          </w:tcPr>
          <w:p w:rsidR="00000000" w:rsidDel="00000000" w:rsidP="00000000" w:rsidRDefault="00000000" w:rsidRPr="00000000" w14:paraId="0000061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1B1a Minería carbonífera y manejo del carbón</w:t>
            </w:r>
          </w:p>
        </w:tc>
      </w:tr>
      <w:tr>
        <w:trPr>
          <w:cantSplit w:val="0"/>
          <w:tblHeader w:val="0"/>
        </w:trPr>
        <w:tc>
          <w:tcPr>
            <w:vMerge w:val="continue"/>
            <w:shd w:fill="auto" w:val="clear"/>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1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 Petróleo y gas natural</w:t>
            </w:r>
          </w:p>
        </w:tc>
        <w:tc>
          <w:tcPr>
            <w:shd w:fill="auto" w:val="clear"/>
          </w:tcPr>
          <w:p w:rsidR="00000000" w:rsidDel="00000000" w:rsidP="00000000" w:rsidRDefault="00000000" w:rsidRPr="00000000" w14:paraId="0000061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tc>
      </w:tr>
      <w:tr>
        <w:trPr>
          <w:cantSplit w:val="0"/>
          <w:tblHeader w:val="0"/>
        </w:trPr>
        <w:tc>
          <w:tcPr>
            <w:vMerge w:val="continue"/>
            <w:shd w:fill="auto" w:val="clear"/>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1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1B2b Gas natural</w:t>
            </w:r>
          </w:p>
        </w:tc>
      </w:tr>
      <w:tr>
        <w:trPr>
          <w:cantSplit w:val="0"/>
          <w:tblHeader w:val="0"/>
        </w:trPr>
        <w:tc>
          <w:tcPr>
            <w:vMerge w:val="restart"/>
            <w:shd w:fill="auto" w:val="clear"/>
          </w:tcPr>
          <w:p w:rsidR="00000000" w:rsidDel="00000000" w:rsidP="00000000" w:rsidRDefault="00000000" w:rsidRPr="00000000" w14:paraId="0000061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Procesos Industriales y Uso de Productos</w:t>
            </w:r>
          </w:p>
        </w:tc>
        <w:tc>
          <w:tcPr>
            <w:vMerge w:val="restart"/>
            <w:shd w:fill="auto" w:val="clear"/>
          </w:tcPr>
          <w:p w:rsidR="00000000" w:rsidDel="00000000" w:rsidP="00000000" w:rsidRDefault="00000000" w:rsidRPr="00000000" w14:paraId="0000062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 Industria de los</w:t>
            </w:r>
          </w:p>
          <w:p w:rsidR="00000000" w:rsidDel="00000000" w:rsidP="00000000" w:rsidRDefault="00000000" w:rsidRPr="00000000" w14:paraId="0000062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minerales</w:t>
            </w:r>
          </w:p>
        </w:tc>
        <w:tc>
          <w:tcPr>
            <w:gridSpan w:val="2"/>
            <w:shd w:fill="auto" w:val="clear"/>
          </w:tcPr>
          <w:p w:rsidR="00000000" w:rsidDel="00000000" w:rsidP="00000000" w:rsidRDefault="00000000" w:rsidRPr="00000000" w14:paraId="0000062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2A1 Producción de cemento</w:t>
            </w:r>
          </w:p>
        </w:tc>
      </w:tr>
      <w:tr>
        <w:trPr>
          <w:cantSplit w:val="0"/>
          <w:tblHeader w:val="0"/>
        </w:trPr>
        <w:tc>
          <w:tcPr>
            <w:vMerge w:val="continue"/>
            <w:shd w:fill="auto" w:val="clea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2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2A2 Producción de cal</w:t>
            </w:r>
          </w:p>
        </w:tc>
      </w:tr>
      <w:tr>
        <w:trPr>
          <w:cantSplit w:val="0"/>
          <w:tblHeader w:val="0"/>
        </w:trPr>
        <w:tc>
          <w:tcPr>
            <w:vMerge w:val="continue"/>
            <w:shd w:fill="auto" w:val="clea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2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2A3 Producción de vidrio</w:t>
            </w:r>
          </w:p>
        </w:tc>
      </w:tr>
      <w:tr>
        <w:trPr>
          <w:cantSplit w:val="0"/>
          <w:tblHeader w:val="0"/>
        </w:trPr>
        <w:tc>
          <w:tcPr>
            <w:vMerge w:val="continue"/>
            <w:shd w:fill="auto" w:val="cle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2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2A4 Otros usos de carbonatos en los</w:t>
            </w:r>
          </w:p>
          <w:p w:rsidR="00000000" w:rsidDel="00000000" w:rsidP="00000000" w:rsidRDefault="00000000" w:rsidRPr="00000000" w14:paraId="0000062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procesos</w:t>
            </w:r>
          </w:p>
        </w:tc>
        <w:tc>
          <w:tcPr>
            <w:shd w:fill="auto" w:val="clear"/>
          </w:tcPr>
          <w:p w:rsidR="00000000" w:rsidDel="00000000" w:rsidP="00000000" w:rsidRDefault="00000000" w:rsidRPr="00000000" w14:paraId="000006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2A4b Otros usos de la ceniza</w:t>
            </w:r>
          </w:p>
          <w:p w:rsidR="00000000" w:rsidDel="00000000" w:rsidP="00000000" w:rsidRDefault="00000000" w:rsidRPr="00000000" w14:paraId="0000063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sosa</w:t>
            </w:r>
          </w:p>
        </w:tc>
      </w:tr>
      <w:tr>
        <w:trPr>
          <w:cantSplit w:val="0"/>
          <w:tblHeader w:val="0"/>
        </w:trPr>
        <w:tc>
          <w:tcPr>
            <w:vMerge w:val="continue"/>
            <w:shd w:fill="auto" w:val="clea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 Industria Química</w:t>
            </w:r>
          </w:p>
        </w:tc>
        <w:tc>
          <w:tcPr>
            <w:gridSpan w:val="2"/>
            <w:shd w:fill="auto" w:val="clear"/>
          </w:tcPr>
          <w:p w:rsidR="00000000" w:rsidDel="00000000" w:rsidP="00000000" w:rsidRDefault="00000000" w:rsidRPr="00000000" w14:paraId="0000063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2B1 Producción de amoníaco</w:t>
            </w:r>
          </w:p>
        </w:tc>
      </w:tr>
      <w:tr>
        <w:trPr>
          <w:cantSplit w:val="0"/>
          <w:tblHeader w:val="0"/>
        </w:trPr>
        <w:tc>
          <w:tcPr>
            <w:vMerge w:val="continue"/>
            <w:shd w:fill="auto" w:val="clea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3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2B2 Producción de ácido nítrico</w:t>
            </w:r>
          </w:p>
        </w:tc>
      </w:tr>
      <w:tr>
        <w:trPr>
          <w:cantSplit w:val="0"/>
          <w:tblHeader w:val="0"/>
        </w:trPr>
        <w:tc>
          <w:tcPr>
            <w:vMerge w:val="continue"/>
            <w:shd w:fill="auto" w:val="clear"/>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2B8 Producción petroquímica de negro de humo</w:t>
            </w:r>
          </w:p>
        </w:tc>
        <w:tc>
          <w:tcPr>
            <w:shd w:fill="auto" w:val="clear"/>
          </w:tcPr>
          <w:p w:rsidR="00000000" w:rsidDel="00000000" w:rsidP="00000000" w:rsidRDefault="00000000" w:rsidRPr="00000000" w14:paraId="0000063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2B8b Etileno</w:t>
            </w:r>
          </w:p>
        </w:tc>
      </w:tr>
      <w:tr>
        <w:trPr>
          <w:cantSplit w:val="0"/>
          <w:tblHeader w:val="0"/>
        </w:trPr>
        <w:tc>
          <w:tcPr>
            <w:vMerge w:val="continue"/>
            <w:shd w:fill="auto" w:val="clear"/>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4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2B8c Dicloruro de etileno y monómero cloruro de vinilo</w:t>
            </w:r>
          </w:p>
        </w:tc>
      </w:tr>
      <w:tr>
        <w:trPr>
          <w:cantSplit w:val="0"/>
          <w:tblHeader w:val="0"/>
        </w:trPr>
        <w:tc>
          <w:tcPr>
            <w:vMerge w:val="continue"/>
            <w:shd w:fill="auto"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2B8f Negro de humo</w:t>
            </w:r>
          </w:p>
        </w:tc>
      </w:tr>
      <w:tr>
        <w:trPr>
          <w:cantSplit w:val="0"/>
          <w:tblHeader w:val="0"/>
        </w:trPr>
        <w:tc>
          <w:tcPr>
            <w:vMerge w:val="continue"/>
            <w:shd w:fill="auto" w:val="clear"/>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4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 Industria de los metales</w:t>
            </w:r>
          </w:p>
        </w:tc>
        <w:tc>
          <w:tcPr>
            <w:gridSpan w:val="2"/>
            <w:shd w:fill="auto" w:val="clear"/>
          </w:tcPr>
          <w:p w:rsidR="00000000" w:rsidDel="00000000" w:rsidP="00000000" w:rsidRDefault="00000000" w:rsidRPr="00000000" w14:paraId="0000064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2C1 Producción de hierro y acero</w:t>
            </w:r>
          </w:p>
        </w:tc>
      </w:tr>
      <w:tr>
        <w:trPr>
          <w:cantSplit w:val="0"/>
          <w:tblHeader w:val="0"/>
        </w:trPr>
        <w:tc>
          <w:tcPr>
            <w:vMerge w:val="continue"/>
            <w:shd w:fill="auto" w:val="clea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4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2C2 Producción de ferroaleaciones</w:t>
            </w:r>
          </w:p>
        </w:tc>
      </w:tr>
      <w:tr>
        <w:trPr>
          <w:cantSplit w:val="0"/>
          <w:tblHeader w:val="0"/>
        </w:trPr>
        <w:tc>
          <w:tcPr>
            <w:vMerge w:val="continue"/>
            <w:shd w:fill="auto" w:val="clear"/>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5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2C5 Producción de plomo</w:t>
            </w:r>
          </w:p>
        </w:tc>
      </w:tr>
      <w:tr>
        <w:trPr>
          <w:cantSplit w:val="0"/>
          <w:tblHeader w:val="0"/>
        </w:trPr>
        <w:tc>
          <w:tcPr>
            <w:vMerge w:val="continue"/>
            <w:shd w:fill="auto" w:val="clea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5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 Uso de productos no energéticos de combustibles y de solvente</w:t>
            </w:r>
          </w:p>
        </w:tc>
        <w:tc>
          <w:tcPr>
            <w:gridSpan w:val="2"/>
            <w:shd w:fill="auto" w:val="clear"/>
          </w:tcPr>
          <w:p w:rsidR="00000000" w:rsidDel="00000000" w:rsidP="00000000" w:rsidRDefault="00000000" w:rsidRPr="00000000" w14:paraId="0000065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2D1 Uso de lubricantes</w:t>
            </w:r>
          </w:p>
        </w:tc>
      </w:tr>
      <w:tr>
        <w:trPr>
          <w:cantSplit w:val="0"/>
          <w:tblHeader w:val="0"/>
        </w:trPr>
        <w:tc>
          <w:tcPr>
            <w:vMerge w:val="continue"/>
            <w:shd w:fill="auto" w:val="clear"/>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5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2D2 Uso de cera de parafina</w:t>
            </w:r>
          </w:p>
        </w:tc>
      </w:tr>
      <w:tr>
        <w:trPr>
          <w:cantSplit w:val="0"/>
          <w:tblHeader w:val="0"/>
        </w:trPr>
        <w:tc>
          <w:tcPr>
            <w:vMerge w:val="continue"/>
            <w:shd w:fill="auto" w:val="clear"/>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5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 Uso de productos</w:t>
            </w:r>
          </w:p>
          <w:p w:rsidR="00000000" w:rsidDel="00000000" w:rsidP="00000000" w:rsidRDefault="00000000" w:rsidRPr="00000000" w14:paraId="0000065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sustitutos de las</w:t>
            </w:r>
          </w:p>
          <w:p w:rsidR="00000000" w:rsidDel="00000000" w:rsidP="00000000" w:rsidRDefault="00000000" w:rsidRPr="00000000" w14:paraId="0000065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sustancias que</w:t>
            </w:r>
          </w:p>
          <w:p w:rsidR="00000000" w:rsidDel="00000000" w:rsidP="00000000" w:rsidRDefault="00000000" w:rsidRPr="00000000" w14:paraId="0000065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agotan la capa de</w:t>
            </w:r>
          </w:p>
          <w:p w:rsidR="00000000" w:rsidDel="00000000" w:rsidP="00000000" w:rsidRDefault="00000000" w:rsidRPr="00000000" w14:paraId="0000065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ozono</w:t>
            </w:r>
          </w:p>
        </w:tc>
        <w:tc>
          <w:tcPr>
            <w:vMerge w:val="restart"/>
            <w:shd w:fill="auto" w:val="clear"/>
          </w:tcPr>
          <w:p w:rsidR="00000000" w:rsidDel="00000000" w:rsidP="00000000" w:rsidRDefault="00000000" w:rsidRPr="00000000" w14:paraId="0000066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2F1 Refrigeración y aire acondicionado</w:t>
            </w:r>
          </w:p>
        </w:tc>
        <w:tc>
          <w:tcPr>
            <w:shd w:fill="auto" w:val="clear"/>
          </w:tcPr>
          <w:p w:rsidR="00000000" w:rsidDel="00000000" w:rsidP="00000000" w:rsidRDefault="00000000" w:rsidRPr="00000000" w14:paraId="0000066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2F1a - Refrigeración y aire acondicionado estacionario</w:t>
            </w:r>
          </w:p>
        </w:tc>
      </w:tr>
      <w:tr>
        <w:trPr>
          <w:cantSplit w:val="0"/>
          <w:tblHeader w:val="0"/>
        </w:trPr>
        <w:tc>
          <w:tcPr>
            <w:vMerge w:val="continue"/>
            <w:shd w:fill="auto" w:val="clea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6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2F1b - Refrigeración y aire acondicionado móvil</w:t>
            </w:r>
          </w:p>
        </w:tc>
      </w:tr>
      <w:tr>
        <w:trPr>
          <w:cantSplit w:val="0"/>
          <w:tblHeader w:val="0"/>
        </w:trPr>
        <w:tc>
          <w:tcPr>
            <w:vMerge w:val="continue"/>
            <w:shd w:fill="auto" w:val="clea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6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2F2 Espumas</w:t>
            </w:r>
          </w:p>
        </w:tc>
      </w:tr>
      <w:tr>
        <w:trPr>
          <w:cantSplit w:val="0"/>
          <w:tblHeader w:val="0"/>
        </w:trPr>
        <w:tc>
          <w:tcPr>
            <w:vMerge w:val="continue"/>
            <w:shd w:fill="auto" w:val="clea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6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2F3 Protección contra incendios</w:t>
            </w:r>
          </w:p>
        </w:tc>
      </w:tr>
      <w:tr>
        <w:trPr>
          <w:cantSplit w:val="0"/>
          <w:tblHeader w:val="0"/>
        </w:trPr>
        <w:tc>
          <w:tcPr>
            <w:vMerge w:val="continue"/>
            <w:shd w:fill="auto" w:val="clea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7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2F4 Aerosoles</w:t>
            </w:r>
          </w:p>
        </w:tc>
      </w:tr>
      <w:tr>
        <w:trPr>
          <w:cantSplit w:val="0"/>
          <w:tblHeader w:val="0"/>
        </w:trPr>
        <w:tc>
          <w:tcPr>
            <w:vMerge w:val="continue"/>
            <w:shd w:fill="auto" w:val="clea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7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2F5 Solventes</w:t>
            </w:r>
          </w:p>
        </w:tc>
      </w:tr>
      <w:tr>
        <w:trPr>
          <w:cantSplit w:val="0"/>
          <w:tblHeader w:val="0"/>
        </w:trPr>
        <w:tc>
          <w:tcPr>
            <w:vMerge w:val="continue"/>
            <w:shd w:fill="auto" w:val="clea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7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2F6 Otras aplicaciones</w:t>
            </w:r>
          </w:p>
        </w:tc>
      </w:tr>
      <w:tr>
        <w:trPr>
          <w:cantSplit w:val="0"/>
          <w:tblHeader w:val="0"/>
        </w:trPr>
        <w:tc>
          <w:tcPr>
            <w:vMerge w:val="continue"/>
            <w:shd w:fill="auto" w:val="clea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2G Manufactura y utilización de otros productos</w:t>
            </w:r>
          </w:p>
        </w:tc>
        <w:tc>
          <w:tcPr>
            <w:shd w:fill="auto" w:val="clear"/>
          </w:tcPr>
          <w:p w:rsidR="00000000" w:rsidDel="00000000" w:rsidP="00000000" w:rsidRDefault="00000000" w:rsidRPr="00000000" w14:paraId="0000067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2G1 Equipos eléctricos</w:t>
            </w:r>
          </w:p>
          <w:p w:rsidR="00000000" w:rsidDel="00000000" w:rsidP="00000000" w:rsidRDefault="00000000" w:rsidRPr="00000000" w14:paraId="0000067D">
            <w:pPr>
              <w:jc w:val="both"/>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2G1b Uso de equipos eléctricos</w:t>
            </w:r>
          </w:p>
        </w:tc>
      </w:tr>
      <w:tr>
        <w:trPr>
          <w:cantSplit w:val="0"/>
          <w:tblHeader w:val="0"/>
        </w:trPr>
        <w:tc>
          <w:tcPr>
            <w:vMerge w:val="restart"/>
            <w:shd w:fill="auto" w:val="clear"/>
          </w:tcPr>
          <w:p w:rsidR="00000000" w:rsidDel="00000000" w:rsidP="00000000" w:rsidRDefault="00000000" w:rsidRPr="00000000" w14:paraId="0000067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Agricultura, Silvicultura, y Otros Usos de la Tierra</w:t>
            </w:r>
          </w:p>
        </w:tc>
        <w:tc>
          <w:tcPr>
            <w:vMerge w:val="restart"/>
            <w:shd w:fill="auto" w:val="clear"/>
          </w:tcPr>
          <w:p w:rsidR="00000000" w:rsidDel="00000000" w:rsidP="00000000" w:rsidRDefault="00000000" w:rsidRPr="00000000" w14:paraId="0000068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 Ganado</w:t>
            </w:r>
          </w:p>
        </w:tc>
        <w:tc>
          <w:tcPr>
            <w:vMerge w:val="restart"/>
            <w:shd w:fill="auto" w:val="clear"/>
          </w:tcPr>
          <w:p w:rsidR="00000000" w:rsidDel="00000000" w:rsidP="00000000" w:rsidRDefault="00000000" w:rsidRPr="00000000" w14:paraId="0000068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 Fermentación Entérica Otras</w:t>
            </w:r>
          </w:p>
          <w:p w:rsidR="00000000" w:rsidDel="00000000" w:rsidP="00000000" w:rsidRDefault="00000000" w:rsidRPr="00000000" w14:paraId="000006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Especies</w:t>
            </w:r>
          </w:p>
        </w:tc>
        <w:tc>
          <w:tcPr>
            <w:shd w:fill="auto" w:val="clear"/>
          </w:tcPr>
          <w:p w:rsidR="00000000" w:rsidDel="00000000" w:rsidP="00000000" w:rsidRDefault="00000000" w:rsidRPr="00000000" w14:paraId="0000068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3A1a Total Ganado Bovino</w:t>
            </w:r>
          </w:p>
        </w:tc>
      </w:tr>
      <w:tr>
        <w:trPr>
          <w:cantSplit w:val="0"/>
          <w:tblHeader w:val="0"/>
        </w:trPr>
        <w:tc>
          <w:tcPr>
            <w:vMerge w:val="continue"/>
            <w:shd w:fill="auto" w:val="clea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8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3A1b Búfalos</w:t>
            </w:r>
          </w:p>
        </w:tc>
      </w:tr>
      <w:tr>
        <w:trPr>
          <w:cantSplit w:val="0"/>
          <w:tblHeader w:val="0"/>
        </w:trPr>
        <w:tc>
          <w:tcPr>
            <w:vMerge w:val="continue"/>
            <w:shd w:fill="auto" w:val="clea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8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3A1c Ovinos</w:t>
            </w:r>
          </w:p>
        </w:tc>
      </w:tr>
      <w:tr>
        <w:trPr>
          <w:cantSplit w:val="0"/>
          <w:tblHeader w:val="0"/>
        </w:trPr>
        <w:tc>
          <w:tcPr>
            <w:vMerge w:val="continue"/>
            <w:shd w:fill="auto" w:val="clea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3A1d Caprinos</w:t>
            </w:r>
          </w:p>
        </w:tc>
      </w:tr>
      <w:tr>
        <w:trPr>
          <w:cantSplit w:val="0"/>
          <w:tblHeader w:val="0"/>
        </w:trPr>
        <w:tc>
          <w:tcPr>
            <w:vMerge w:val="continue"/>
            <w:shd w:fill="auto" w:val="clea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9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3A1f Caballos</w:t>
            </w:r>
          </w:p>
        </w:tc>
      </w:tr>
      <w:tr>
        <w:trPr>
          <w:cantSplit w:val="0"/>
          <w:tblHeader w:val="0"/>
        </w:trPr>
        <w:tc>
          <w:tcPr>
            <w:vMerge w:val="continue"/>
            <w:shd w:fill="auto" w:val="clea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9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3A1g Mulas y asnos</w:t>
            </w:r>
          </w:p>
        </w:tc>
      </w:tr>
      <w:tr>
        <w:trPr>
          <w:cantSplit w:val="0"/>
          <w:tblHeader w:val="0"/>
        </w:trPr>
        <w:tc>
          <w:tcPr>
            <w:vMerge w:val="continue"/>
            <w:shd w:fill="auto" w:val="clea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9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3A1h Porcinos</w:t>
            </w:r>
          </w:p>
        </w:tc>
      </w:tr>
      <w:tr>
        <w:trPr>
          <w:cantSplit w:val="0"/>
          <w:tblHeader w:val="0"/>
        </w:trPr>
        <w:tc>
          <w:tcPr>
            <w:vMerge w:val="continue"/>
            <w:shd w:fill="auto" w:val="clea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9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 Gestión de Estiércol</w:t>
            </w:r>
          </w:p>
        </w:tc>
        <w:tc>
          <w:tcPr>
            <w:shd w:fill="auto" w:val="clear"/>
          </w:tcPr>
          <w:p w:rsidR="00000000" w:rsidDel="00000000" w:rsidP="00000000" w:rsidRDefault="00000000" w:rsidRPr="00000000" w14:paraId="0000069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3A2a Total Ganado Bovino</w:t>
            </w:r>
          </w:p>
        </w:tc>
      </w:tr>
      <w:tr>
        <w:trPr>
          <w:cantSplit w:val="0"/>
          <w:tblHeader w:val="0"/>
        </w:trPr>
        <w:tc>
          <w:tcPr>
            <w:vMerge w:val="continue"/>
            <w:shd w:fill="auto" w:val="clear"/>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A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3A2b Búfalos</w:t>
            </w:r>
          </w:p>
        </w:tc>
      </w:tr>
      <w:tr>
        <w:trPr>
          <w:cantSplit w:val="0"/>
          <w:tblHeader w:val="0"/>
        </w:trPr>
        <w:tc>
          <w:tcPr>
            <w:vMerge w:val="continue"/>
            <w:shd w:fill="auto" w:val="clear"/>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3A2c Ovinos</w:t>
            </w:r>
          </w:p>
        </w:tc>
      </w:tr>
      <w:tr>
        <w:trPr>
          <w:cantSplit w:val="0"/>
          <w:tblHeader w:val="0"/>
        </w:trPr>
        <w:tc>
          <w:tcPr>
            <w:vMerge w:val="continue"/>
            <w:shd w:fill="auto" w:val="clea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3A2d Caprinos</w:t>
            </w:r>
          </w:p>
        </w:tc>
      </w:tr>
      <w:tr>
        <w:trPr>
          <w:cantSplit w:val="0"/>
          <w:tblHeader w:val="0"/>
        </w:trPr>
        <w:tc>
          <w:tcPr>
            <w:vMerge w:val="continue"/>
            <w:shd w:fill="auto" w:val="clea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A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3A2f Caballos</w:t>
            </w:r>
          </w:p>
        </w:tc>
      </w:tr>
      <w:tr>
        <w:trPr>
          <w:cantSplit w:val="0"/>
          <w:tblHeader w:val="0"/>
        </w:trPr>
        <w:tc>
          <w:tcPr>
            <w:vMerge w:val="continue"/>
            <w:shd w:fill="auto" w:val="clea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B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3A2g Mulas y asnos</w:t>
            </w:r>
          </w:p>
        </w:tc>
      </w:tr>
      <w:tr>
        <w:trPr>
          <w:cantSplit w:val="0"/>
          <w:tblHeader w:val="0"/>
        </w:trPr>
        <w:tc>
          <w:tcPr>
            <w:vMerge w:val="continue"/>
            <w:shd w:fill="auto"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B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3A2h Porcinos</w:t>
            </w:r>
          </w:p>
        </w:tc>
      </w:tr>
      <w:tr>
        <w:trPr>
          <w:cantSplit w:val="0"/>
          <w:tblHeader w:val="0"/>
        </w:trPr>
        <w:tc>
          <w:tcPr>
            <w:vMerge w:val="continue"/>
            <w:shd w:fill="auto" w:val="clea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B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3A2j Aves</w:t>
            </w:r>
          </w:p>
        </w:tc>
      </w:tr>
      <w:tr>
        <w:trPr>
          <w:cantSplit w:val="0"/>
          <w:tblHeader w:val="0"/>
        </w:trPr>
        <w:tc>
          <w:tcPr>
            <w:vMerge w:val="continue"/>
            <w:shd w:fill="auto"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B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 - Tierra</w:t>
            </w:r>
          </w:p>
        </w:tc>
        <w:tc>
          <w:tcPr>
            <w:vMerge w:val="restart"/>
            <w:shd w:fill="auto" w:val="clear"/>
          </w:tcPr>
          <w:p w:rsidR="00000000" w:rsidDel="00000000" w:rsidP="00000000" w:rsidRDefault="00000000" w:rsidRPr="00000000" w14:paraId="000006B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 Tierras forestales</w:t>
            </w:r>
          </w:p>
        </w:tc>
        <w:tc>
          <w:tcPr>
            <w:shd w:fill="auto" w:val="clear"/>
          </w:tcPr>
          <w:p w:rsidR="00000000" w:rsidDel="00000000" w:rsidP="00000000" w:rsidRDefault="00000000" w:rsidRPr="00000000" w14:paraId="000006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3B1a Tierras forestales que permanecen como tales</w:t>
            </w:r>
          </w:p>
        </w:tc>
      </w:tr>
      <w:tr>
        <w:trPr>
          <w:cantSplit w:val="0"/>
          <w:tblHeader w:val="0"/>
        </w:trPr>
        <w:tc>
          <w:tcPr>
            <w:vMerge w:val="continue"/>
            <w:shd w:fill="auto" w:val="clea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3B1b Tierras convertidas en tierras forestales</w:t>
            </w:r>
          </w:p>
        </w:tc>
      </w:tr>
      <w:tr>
        <w:trPr>
          <w:cantSplit w:val="0"/>
          <w:tblHeader w:val="0"/>
        </w:trPr>
        <w:tc>
          <w:tcPr>
            <w:vMerge w:val="continue"/>
            <w:shd w:fill="auto" w:val="cle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C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3B2 Tierras de cultivo</w:t>
            </w:r>
          </w:p>
        </w:tc>
        <w:tc>
          <w:tcPr>
            <w:shd w:fill="auto" w:val="clear"/>
          </w:tcPr>
          <w:p w:rsidR="00000000" w:rsidDel="00000000" w:rsidP="00000000" w:rsidRDefault="00000000" w:rsidRPr="00000000" w14:paraId="000006C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3B2a Tierras de cultivo que permanecen como tales</w:t>
            </w:r>
          </w:p>
        </w:tc>
      </w:tr>
      <w:tr>
        <w:trPr>
          <w:cantSplit w:val="0"/>
          <w:tblHeader w:val="0"/>
        </w:trPr>
        <w:tc>
          <w:tcPr>
            <w:vMerge w:val="continue"/>
            <w:shd w:fill="auto"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C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3B2b Tierras convertidas en tierras de cultivo</w:t>
            </w:r>
          </w:p>
        </w:tc>
      </w:tr>
      <w:tr>
        <w:trPr>
          <w:cantSplit w:val="0"/>
          <w:tblHeader w:val="0"/>
        </w:trPr>
        <w:tc>
          <w:tcPr>
            <w:vMerge w:val="continue"/>
            <w:shd w:fill="auto" w:val="clea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C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3B3 Pastizales</w:t>
            </w:r>
          </w:p>
        </w:tc>
        <w:tc>
          <w:tcPr>
            <w:shd w:fill="auto" w:val="clear"/>
          </w:tcPr>
          <w:p w:rsidR="00000000" w:rsidDel="00000000" w:rsidP="00000000" w:rsidRDefault="00000000" w:rsidRPr="00000000" w14:paraId="000006C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3B3a Pastizales que permanecen como tales</w:t>
            </w:r>
          </w:p>
        </w:tc>
      </w:tr>
      <w:tr>
        <w:trPr>
          <w:cantSplit w:val="0"/>
          <w:tblHeader w:val="0"/>
        </w:trPr>
        <w:tc>
          <w:tcPr>
            <w:vMerge w:val="continue"/>
            <w:shd w:fill="auto" w:val="clear"/>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D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3B3b Tierras convertidas en pastizales</w:t>
            </w:r>
          </w:p>
        </w:tc>
      </w:tr>
      <w:tr>
        <w:trPr>
          <w:cantSplit w:val="0"/>
          <w:tblHeader w:val="0"/>
        </w:trPr>
        <w:tc>
          <w:tcPr>
            <w:vMerge w:val="continue"/>
            <w:shd w:fill="auto" w:val="clea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D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 Humedales</w:t>
            </w:r>
          </w:p>
        </w:tc>
        <w:tc>
          <w:tcPr>
            <w:shd w:fill="auto" w:val="clear"/>
          </w:tcPr>
          <w:p w:rsidR="00000000" w:rsidDel="00000000" w:rsidP="00000000" w:rsidRDefault="00000000" w:rsidRPr="00000000" w14:paraId="000006D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3B4a Humedales que permanecen como tales</w:t>
            </w:r>
          </w:p>
        </w:tc>
      </w:tr>
      <w:tr>
        <w:trPr>
          <w:cantSplit w:val="0"/>
          <w:tblHeader w:val="0"/>
        </w:trPr>
        <w:tc>
          <w:tcPr>
            <w:vMerge w:val="continue"/>
            <w:shd w:fill="auto" w:val="clea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D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3B4b Tierras convertidas en humedales</w:t>
            </w:r>
          </w:p>
        </w:tc>
      </w:tr>
      <w:tr>
        <w:trPr>
          <w:cantSplit w:val="0"/>
          <w:tblHeader w:val="0"/>
        </w:trPr>
        <w:tc>
          <w:tcPr>
            <w:vMerge w:val="continue"/>
            <w:shd w:fill="auto" w:val="clea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D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3B5b Tierras convertidas en asentamientos</w:t>
            </w:r>
          </w:p>
        </w:tc>
      </w:tr>
      <w:tr>
        <w:trPr>
          <w:cantSplit w:val="0"/>
          <w:tblHeader w:val="0"/>
        </w:trPr>
        <w:tc>
          <w:tcPr>
            <w:vMerge w:val="continue"/>
            <w:shd w:fill="auto" w:val="clea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E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3B6b Tierras convertidas en otras tierras</w:t>
            </w:r>
          </w:p>
        </w:tc>
      </w:tr>
      <w:tr>
        <w:trPr>
          <w:cantSplit w:val="0"/>
          <w:tblHeader w:val="0"/>
        </w:trPr>
        <w:tc>
          <w:tcPr>
            <w:vMerge w:val="continue"/>
            <w:shd w:fill="auto" w:val="clea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E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 Fuentes</w:t>
            </w:r>
          </w:p>
          <w:p w:rsidR="00000000" w:rsidDel="00000000" w:rsidP="00000000" w:rsidRDefault="00000000" w:rsidRPr="00000000" w14:paraId="000006E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agregadas y</w:t>
            </w:r>
          </w:p>
          <w:p w:rsidR="00000000" w:rsidDel="00000000" w:rsidP="00000000" w:rsidRDefault="00000000" w:rsidRPr="00000000" w14:paraId="000006E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emisiones de no CO</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sz w:val="20"/>
                <w:szCs w:val="20"/>
                <w:rtl w:val="0"/>
              </w:rPr>
              <w:t xml:space="preserve"> provenientes</w:t>
            </w:r>
          </w:p>
          <w:p w:rsidR="00000000" w:rsidDel="00000000" w:rsidP="00000000" w:rsidRDefault="00000000" w:rsidRPr="00000000" w14:paraId="000006E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la tierra</w:t>
            </w:r>
          </w:p>
        </w:tc>
        <w:tc>
          <w:tcPr>
            <w:gridSpan w:val="2"/>
            <w:shd w:fill="auto" w:val="clear"/>
          </w:tcPr>
          <w:p w:rsidR="00000000" w:rsidDel="00000000" w:rsidP="00000000" w:rsidRDefault="00000000" w:rsidRPr="00000000" w14:paraId="000006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3C1 Quema de Biomasa</w:t>
            </w:r>
          </w:p>
        </w:tc>
      </w:tr>
      <w:tr>
        <w:trPr>
          <w:cantSplit w:val="0"/>
          <w:tblHeader w:val="0"/>
        </w:trPr>
        <w:tc>
          <w:tcPr>
            <w:vMerge w:val="continue"/>
            <w:shd w:fill="auto" w:val="clea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E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3C2 Encalado</w:t>
            </w:r>
          </w:p>
        </w:tc>
      </w:tr>
      <w:tr>
        <w:trPr>
          <w:cantSplit w:val="0"/>
          <w:tblHeader w:val="0"/>
        </w:trPr>
        <w:tc>
          <w:tcPr>
            <w:vMerge w:val="continue"/>
            <w:shd w:fill="auto" w:val="clea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6F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3C3 Aplicación de Urea</w:t>
            </w:r>
          </w:p>
        </w:tc>
      </w:tr>
      <w:tr>
        <w:trPr>
          <w:cantSplit w:val="0"/>
          <w:tblHeader w:val="0"/>
        </w:trPr>
        <w:tc>
          <w:tcPr>
            <w:vMerge w:val="continue"/>
            <w:shd w:fill="auto" w:val="clea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6F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 Emisiones directas</w:t>
            </w:r>
          </w:p>
          <w:p w:rsidR="00000000" w:rsidDel="00000000" w:rsidP="00000000" w:rsidRDefault="00000000" w:rsidRPr="00000000" w14:paraId="000006F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N</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sz w:val="20"/>
                <w:szCs w:val="20"/>
                <w:rtl w:val="0"/>
              </w:rPr>
              <w:t xml:space="preserve">O de suelos</w:t>
            </w:r>
          </w:p>
          <w:p w:rsidR="00000000" w:rsidDel="00000000" w:rsidP="00000000" w:rsidRDefault="00000000" w:rsidRPr="00000000" w14:paraId="000006F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gestionados</w:t>
            </w:r>
          </w:p>
        </w:tc>
        <w:tc>
          <w:tcPr>
            <w:shd w:fill="auto" w:val="clear"/>
          </w:tcPr>
          <w:p w:rsidR="00000000" w:rsidDel="00000000" w:rsidP="00000000" w:rsidRDefault="00000000" w:rsidRPr="00000000" w14:paraId="000006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3C4a Fertilizante sintético (FSN)</w:t>
            </w:r>
          </w:p>
        </w:tc>
      </w:tr>
      <w:tr>
        <w:trPr>
          <w:cantSplit w:val="0"/>
          <w:tblHeader w:val="0"/>
        </w:trPr>
        <w:tc>
          <w:tcPr>
            <w:vMerge w:val="continue"/>
            <w:shd w:fill="auto" w:val="clear"/>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6F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3C4b Fertilizante orgánico (FON)</w:t>
            </w:r>
          </w:p>
        </w:tc>
      </w:tr>
      <w:tr>
        <w:trPr>
          <w:cantSplit w:val="0"/>
          <w:tblHeader w:val="0"/>
        </w:trPr>
        <w:tc>
          <w:tcPr>
            <w:vMerge w:val="continue"/>
            <w:shd w:fill="auto" w:val="clea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0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3C4c Residuos de cultivo incluidos los fijadores de nitrógeno y de forraje en la renovación de pasturas</w:t>
            </w:r>
          </w:p>
          <w:p w:rsidR="00000000" w:rsidDel="00000000" w:rsidP="00000000" w:rsidRDefault="00000000" w:rsidRPr="00000000" w14:paraId="0000070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(FCR)</w:t>
            </w:r>
          </w:p>
        </w:tc>
      </w:tr>
      <w:tr>
        <w:trPr>
          <w:cantSplit w:val="0"/>
          <w:tblHeader w:val="0"/>
        </w:trPr>
        <w:tc>
          <w:tcPr>
            <w:vMerge w:val="continue"/>
            <w:shd w:fill="auto" w:val="clear"/>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0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3C4d Mineralización por cambio en el uso o manejo (FSOM)</w:t>
            </w:r>
          </w:p>
        </w:tc>
      </w:tr>
      <w:tr>
        <w:trPr>
          <w:cantSplit w:val="0"/>
          <w:tblHeader w:val="0"/>
        </w:trPr>
        <w:tc>
          <w:tcPr>
            <w:vMerge w:val="continue"/>
            <w:shd w:fill="auto" w:val="clear"/>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0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3C4e Gestión de suelos histosoles (FOS)</w:t>
            </w:r>
          </w:p>
        </w:tc>
      </w:tr>
      <w:tr>
        <w:trPr>
          <w:cantSplit w:val="0"/>
          <w:tblHeader w:val="0"/>
        </w:trPr>
        <w:tc>
          <w:tcPr>
            <w:vMerge w:val="continue"/>
            <w:shd w:fill="auto" w:val="clear"/>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0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3C4f Orina y estiércol de animales en pastoreo (FPRP)</w:t>
            </w:r>
          </w:p>
        </w:tc>
      </w:tr>
      <w:tr>
        <w:trPr>
          <w:cantSplit w:val="0"/>
          <w:tblHeader w:val="0"/>
        </w:trPr>
        <w:tc>
          <w:tcPr>
            <w:vMerge w:val="continue"/>
            <w:shd w:fill="auto" w:val="clea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 Emisiones</w:t>
            </w:r>
          </w:p>
          <w:p w:rsidR="00000000" w:rsidDel="00000000" w:rsidP="00000000" w:rsidRDefault="00000000" w:rsidRPr="00000000" w14:paraId="0000071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indirectas de N</w:t>
            </w:r>
            <w:r w:rsidDel="00000000" w:rsidR="00000000" w:rsidRPr="00000000">
              <w:rPr>
                <w:rFonts w:ascii="Arial" w:cs="Arial" w:eastAsia="Arial" w:hAnsi="Arial"/>
                <w:sz w:val="20"/>
                <w:szCs w:val="20"/>
                <w:vertAlign w:val="subscript"/>
                <w:rtl w:val="0"/>
              </w:rPr>
              <w:t xml:space="preserve">2</w:t>
            </w:r>
            <w:r w:rsidDel="00000000" w:rsidR="00000000" w:rsidRPr="00000000">
              <w:rPr>
                <w:rFonts w:ascii="Arial" w:cs="Arial" w:eastAsia="Arial" w:hAnsi="Arial"/>
                <w:sz w:val="20"/>
                <w:szCs w:val="20"/>
                <w:rtl w:val="0"/>
              </w:rPr>
              <w:t xml:space="preserve">O de</w:t>
            </w:r>
          </w:p>
          <w:p w:rsidR="00000000" w:rsidDel="00000000" w:rsidP="00000000" w:rsidRDefault="00000000" w:rsidRPr="00000000" w14:paraId="0000071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suelos gestionados</w:t>
            </w:r>
          </w:p>
        </w:tc>
        <w:tc>
          <w:tcPr>
            <w:shd w:fill="auto" w:val="clear"/>
          </w:tcPr>
          <w:p w:rsidR="00000000" w:rsidDel="00000000" w:rsidP="00000000" w:rsidRDefault="00000000" w:rsidRPr="00000000" w14:paraId="0000071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3C5a Volatilización Fertilizante sintético (FSN)</w:t>
            </w:r>
          </w:p>
        </w:tc>
      </w:tr>
      <w:tr>
        <w:trPr>
          <w:cantSplit w:val="0"/>
          <w:tblHeader w:val="0"/>
        </w:trPr>
        <w:tc>
          <w:tcPr>
            <w:vMerge w:val="continue"/>
            <w:shd w:fill="auto" w:val="clea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1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3C5b Volatilización Fertilizante orgánico (FON)</w:t>
            </w:r>
          </w:p>
        </w:tc>
      </w:tr>
      <w:tr>
        <w:trPr>
          <w:cantSplit w:val="0"/>
          <w:tblHeader w:val="0"/>
        </w:trPr>
        <w:tc>
          <w:tcPr>
            <w:vMerge w:val="continue"/>
            <w:shd w:fill="auto" w:val="clear"/>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1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3C5c Volatilización Orina y estiércol de animales en pastoreo (FPRP)</w:t>
            </w:r>
          </w:p>
        </w:tc>
      </w:tr>
      <w:tr>
        <w:trPr>
          <w:cantSplit w:val="0"/>
          <w:tblHeader w:val="0"/>
        </w:trPr>
        <w:tc>
          <w:tcPr>
            <w:vMerge w:val="continue"/>
            <w:shd w:fill="auto" w:val="clea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1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3C5d – Lixiviación escurrimiento Fertilizante sintético (FSN)</w:t>
            </w:r>
          </w:p>
        </w:tc>
      </w:tr>
      <w:tr>
        <w:trPr>
          <w:cantSplit w:val="0"/>
          <w:tblHeader w:val="0"/>
        </w:trPr>
        <w:tc>
          <w:tcPr>
            <w:vMerge w:val="continue"/>
            <w:shd w:fill="auto" w:val="clear"/>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2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3C5e – Lixiviación escurrimiento Fertilizante orgánico (FON)</w:t>
            </w:r>
          </w:p>
        </w:tc>
      </w:tr>
      <w:tr>
        <w:trPr>
          <w:cantSplit w:val="0"/>
          <w:tblHeader w:val="0"/>
        </w:trPr>
        <w:tc>
          <w:tcPr>
            <w:vMerge w:val="continue"/>
            <w:shd w:fill="auto" w:val="clea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2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3C5f Lixiviación escurrimiento Residuos de cultivo incluidos los fijadores de nitrógeno y de forraje en la renovación de pasturas (FCR)</w:t>
            </w:r>
          </w:p>
        </w:tc>
      </w:tr>
      <w:tr>
        <w:trPr>
          <w:cantSplit w:val="0"/>
          <w:tblHeader w:val="0"/>
        </w:trPr>
        <w:tc>
          <w:tcPr>
            <w:vMerge w:val="continue"/>
            <w:shd w:fill="auto" w:val="clea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2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3C5g Lixiviación escurrimiento Mineralización por</w:t>
            </w:r>
          </w:p>
          <w:p w:rsidR="00000000" w:rsidDel="00000000" w:rsidP="00000000" w:rsidRDefault="00000000" w:rsidRPr="00000000" w14:paraId="0000072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cambio en el uso o manejo (FSOM)</w:t>
            </w:r>
          </w:p>
        </w:tc>
      </w:tr>
      <w:tr>
        <w:trPr>
          <w:cantSplit w:val="0"/>
          <w:tblHeader w:val="0"/>
        </w:trPr>
        <w:tc>
          <w:tcPr>
            <w:vMerge w:val="continue"/>
            <w:shd w:fill="auto" w:val="clea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3C5h – Lixiviación escurrimiento Orina y estiércol de animales en pastoreo (FPRP)</w:t>
            </w:r>
          </w:p>
        </w:tc>
      </w:tr>
      <w:tr>
        <w:trPr>
          <w:cantSplit w:val="0"/>
          <w:tblHeader w:val="0"/>
        </w:trPr>
        <w:tc>
          <w:tcPr>
            <w:vMerge w:val="continue"/>
            <w:shd w:fill="auto" w:val="clear"/>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 Emisiones indirectas de N2O</w:t>
            </w:r>
          </w:p>
          <w:p w:rsidR="00000000" w:rsidDel="00000000" w:rsidP="00000000" w:rsidRDefault="00000000" w:rsidRPr="00000000" w14:paraId="0000073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gestión de estiércol</w:t>
            </w:r>
          </w:p>
        </w:tc>
        <w:tc>
          <w:tcPr>
            <w:shd w:fill="auto" w:val="clear"/>
          </w:tcPr>
          <w:p w:rsidR="00000000" w:rsidDel="00000000" w:rsidP="00000000" w:rsidRDefault="00000000" w:rsidRPr="00000000" w14:paraId="000007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3C6a Total Ganado Bovino</w:t>
            </w:r>
          </w:p>
        </w:tc>
      </w:tr>
      <w:tr>
        <w:trPr>
          <w:cantSplit w:val="0"/>
          <w:tblHeader w:val="0"/>
        </w:trPr>
        <w:tc>
          <w:tcPr>
            <w:vMerge w:val="continue"/>
            <w:shd w:fill="auto" w:val="clear"/>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3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3C6b Búfalos</w:t>
            </w:r>
          </w:p>
        </w:tc>
      </w:tr>
      <w:tr>
        <w:trPr>
          <w:cantSplit w:val="0"/>
          <w:tblHeader w:val="0"/>
        </w:trPr>
        <w:tc>
          <w:tcPr>
            <w:vMerge w:val="continue"/>
            <w:shd w:fill="auto" w:val="clear"/>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3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3C6c Ovinos</w:t>
            </w:r>
          </w:p>
        </w:tc>
      </w:tr>
      <w:tr>
        <w:trPr>
          <w:cantSplit w:val="0"/>
          <w:tblHeader w:val="0"/>
        </w:trPr>
        <w:tc>
          <w:tcPr>
            <w:vMerge w:val="continue"/>
            <w:shd w:fill="auto" w:val="clea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4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3C6d Caprinos</w:t>
            </w:r>
          </w:p>
        </w:tc>
      </w:tr>
      <w:tr>
        <w:trPr>
          <w:cantSplit w:val="0"/>
          <w:tblHeader w:val="0"/>
        </w:trPr>
        <w:tc>
          <w:tcPr>
            <w:vMerge w:val="continue"/>
            <w:shd w:fill="auto"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3C6e Camellos</w:t>
            </w:r>
          </w:p>
        </w:tc>
      </w:tr>
      <w:tr>
        <w:trPr>
          <w:cantSplit w:val="0"/>
          <w:tblHeader w:val="0"/>
        </w:trPr>
        <w:tc>
          <w:tcPr>
            <w:vMerge w:val="continue"/>
            <w:shd w:fill="auto" w:val="clea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4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3C6f Caballos</w:t>
            </w:r>
          </w:p>
        </w:tc>
      </w:tr>
      <w:tr>
        <w:trPr>
          <w:cantSplit w:val="0"/>
          <w:tblHeader w:val="0"/>
        </w:trPr>
        <w:tc>
          <w:tcPr>
            <w:vMerge w:val="continue"/>
            <w:shd w:fill="auto" w:val="clear"/>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4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3C6g Mulas y asnos</w:t>
            </w:r>
          </w:p>
        </w:tc>
      </w:tr>
      <w:tr>
        <w:trPr>
          <w:cantSplit w:val="0"/>
          <w:tblHeader w:val="0"/>
        </w:trPr>
        <w:tc>
          <w:tcPr>
            <w:vMerge w:val="continue"/>
            <w:shd w:fill="auto" w:val="clea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5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3C6h Porcinos</w:t>
            </w:r>
          </w:p>
        </w:tc>
      </w:tr>
      <w:tr>
        <w:trPr>
          <w:cantSplit w:val="0"/>
          <w:tblHeader w:val="0"/>
        </w:trPr>
        <w:tc>
          <w:tcPr>
            <w:vMerge w:val="continue"/>
            <w:shd w:fill="auto"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5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3C6j Aves</w:t>
            </w:r>
          </w:p>
        </w:tc>
      </w:tr>
      <w:tr>
        <w:trPr>
          <w:cantSplit w:val="0"/>
          <w:tblHeader w:val="0"/>
        </w:trPr>
        <w:tc>
          <w:tcPr>
            <w:vMerge w:val="continue"/>
            <w:shd w:fill="auto" w:val="clea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5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3C7 Cultivo de arroz</w:t>
            </w:r>
          </w:p>
        </w:tc>
        <w:tc>
          <w:tcPr>
            <w:shd w:fill="auto" w:val="clear"/>
          </w:tcPr>
          <w:p w:rsidR="00000000" w:rsidDel="00000000" w:rsidP="00000000" w:rsidRDefault="00000000" w:rsidRPr="00000000" w14:paraId="0000075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3C7a Cultivo arroz riego</w:t>
            </w:r>
          </w:p>
        </w:tc>
      </w:tr>
      <w:tr>
        <w:trPr>
          <w:cantSplit w:val="0"/>
          <w:tblHeader w:val="0"/>
        </w:trPr>
        <w:tc>
          <w:tcPr>
            <w:vMerge w:val="continue"/>
            <w:shd w:fill="auto" w:val="clear"/>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5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3C7b Cultivo de arroz secano</w:t>
            </w:r>
          </w:p>
        </w:tc>
      </w:tr>
      <w:tr>
        <w:trPr>
          <w:cantSplit w:val="0"/>
          <w:tblHeader w:val="0"/>
        </w:trPr>
        <w:tc>
          <w:tcPr>
            <w:vMerge w:val="continue"/>
            <w:shd w:fill="auto" w:val="clea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5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 Otros</w:t>
            </w:r>
          </w:p>
        </w:tc>
        <w:tc>
          <w:tcPr>
            <w:gridSpan w:val="2"/>
            <w:shd w:fill="auto" w:val="clear"/>
          </w:tcPr>
          <w:p w:rsidR="00000000" w:rsidDel="00000000" w:rsidP="00000000" w:rsidRDefault="00000000" w:rsidRPr="00000000" w14:paraId="0000076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3D1 Productos de la madera recolectada</w:t>
            </w:r>
          </w:p>
        </w:tc>
      </w:tr>
      <w:tr>
        <w:trPr>
          <w:cantSplit w:val="0"/>
          <w:tblHeader w:val="0"/>
        </w:trPr>
        <w:tc>
          <w:tcPr>
            <w:vMerge w:val="restart"/>
            <w:shd w:fill="auto" w:val="clear"/>
          </w:tcPr>
          <w:p w:rsidR="00000000" w:rsidDel="00000000" w:rsidP="00000000" w:rsidRDefault="00000000" w:rsidRPr="00000000" w14:paraId="0000076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Residuos</w:t>
            </w:r>
          </w:p>
        </w:tc>
        <w:tc>
          <w:tcPr>
            <w:vMerge w:val="restart"/>
            <w:shd w:fill="auto" w:val="clear"/>
          </w:tcPr>
          <w:p w:rsidR="00000000" w:rsidDel="00000000" w:rsidP="00000000" w:rsidRDefault="00000000" w:rsidRPr="00000000" w14:paraId="0000076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 Eliminación de</w:t>
            </w:r>
          </w:p>
          <w:p w:rsidR="00000000" w:rsidDel="00000000" w:rsidP="00000000" w:rsidRDefault="00000000" w:rsidRPr="00000000" w14:paraId="0000076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desechos sólidos</w:t>
            </w:r>
          </w:p>
        </w:tc>
        <w:tc>
          <w:tcPr>
            <w:vMerge w:val="restart"/>
            <w:shd w:fill="auto" w:val="clear"/>
          </w:tcPr>
          <w:p w:rsidR="00000000" w:rsidDel="00000000" w:rsidP="00000000" w:rsidRDefault="00000000" w:rsidRPr="00000000" w14:paraId="0000076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4A1 Sitios gestionados de eliminación de desechos</w:t>
            </w:r>
          </w:p>
        </w:tc>
        <w:tc>
          <w:tcPr>
            <w:shd w:fill="auto" w:val="clear"/>
          </w:tcPr>
          <w:p w:rsidR="00000000" w:rsidDel="00000000" w:rsidP="00000000" w:rsidRDefault="00000000" w:rsidRPr="00000000" w14:paraId="0000076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4A1a Rellenos regionales</w:t>
            </w:r>
          </w:p>
        </w:tc>
      </w:tr>
      <w:tr>
        <w:trPr>
          <w:cantSplit w:val="0"/>
          <w:tblHeader w:val="0"/>
        </w:trPr>
        <w:tc>
          <w:tcPr>
            <w:vMerge w:val="continue"/>
            <w:shd w:fill="auto" w:val="cle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6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4A1b Rellenos locales plantas integrales y celdas de contingencia</w:t>
            </w:r>
          </w:p>
        </w:tc>
      </w:tr>
      <w:tr>
        <w:trPr>
          <w:cantSplit w:val="0"/>
          <w:tblHeader w:val="0"/>
        </w:trPr>
        <w:tc>
          <w:tcPr>
            <w:vMerge w:val="continue"/>
            <w:shd w:fill="auto" w:val="clea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76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4A3 Sitios no categorizados de eliminación de Desechos</w:t>
            </w:r>
          </w:p>
        </w:tc>
      </w:tr>
      <w:tr>
        <w:trPr>
          <w:cantSplit w:val="0"/>
          <w:tblHeader w:val="0"/>
        </w:trPr>
        <w:tc>
          <w:tcPr>
            <w:vMerge w:val="continue"/>
            <w:shd w:fill="auto" w:val="cle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7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4C Incineración e incineración</w:t>
            </w:r>
          </w:p>
          <w:p w:rsidR="00000000" w:rsidDel="00000000" w:rsidP="00000000" w:rsidRDefault="00000000" w:rsidRPr="00000000" w14:paraId="0000077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abierta de</w:t>
            </w:r>
          </w:p>
          <w:p w:rsidR="00000000" w:rsidDel="00000000" w:rsidP="00000000" w:rsidRDefault="00000000" w:rsidRPr="00000000" w14:paraId="0000077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desechos</w:t>
            </w:r>
          </w:p>
        </w:tc>
        <w:tc>
          <w:tcPr>
            <w:gridSpan w:val="2"/>
            <w:shd w:fill="auto" w:val="clear"/>
          </w:tcPr>
          <w:p w:rsidR="00000000" w:rsidDel="00000000" w:rsidP="00000000" w:rsidRDefault="00000000" w:rsidRPr="00000000" w14:paraId="0000077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4C1 Incineración de desechos</w:t>
            </w:r>
          </w:p>
        </w:tc>
      </w:tr>
      <w:tr>
        <w:trPr>
          <w:cantSplit w:val="0"/>
          <w:tblHeader w:val="0"/>
        </w:trPr>
        <w:tc>
          <w:tcPr>
            <w:vMerge w:val="continue"/>
            <w:shd w:fill="auto" w:val="cle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77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4C2 Incineración abierta de desechos</w:t>
            </w:r>
          </w:p>
        </w:tc>
      </w:tr>
      <w:tr>
        <w:trPr>
          <w:cantSplit w:val="0"/>
          <w:tblHeader w:val="0"/>
        </w:trPr>
        <w:tc>
          <w:tcPr>
            <w:vMerge w:val="continue"/>
            <w:shd w:fill="auto" w:val="clea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7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 Tratamiento</w:t>
            </w:r>
          </w:p>
          <w:p w:rsidR="00000000" w:rsidDel="00000000" w:rsidP="00000000" w:rsidRDefault="00000000" w:rsidRPr="00000000" w14:paraId="000007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y eliminación de</w:t>
            </w:r>
          </w:p>
          <w:p w:rsidR="00000000" w:rsidDel="00000000" w:rsidP="00000000" w:rsidRDefault="00000000" w:rsidRPr="00000000" w14:paraId="0000077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aguas residuales</w:t>
            </w:r>
          </w:p>
        </w:tc>
        <w:tc>
          <w:tcPr>
            <w:vMerge w:val="restart"/>
            <w:shd w:fill="auto" w:val="clear"/>
          </w:tcPr>
          <w:p w:rsidR="00000000" w:rsidDel="00000000" w:rsidP="00000000" w:rsidRDefault="00000000" w:rsidRPr="00000000" w14:paraId="0000077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4D1 Tratamiento y eliminación de aguas residuales domésticas</w:t>
            </w:r>
          </w:p>
        </w:tc>
        <w:tc>
          <w:tcPr>
            <w:shd w:fill="auto" w:val="clear"/>
          </w:tcPr>
          <w:p w:rsidR="00000000" w:rsidDel="00000000" w:rsidP="00000000" w:rsidRDefault="00000000" w:rsidRPr="00000000" w14:paraId="000007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4D1a Población cabecera municipal</w:t>
            </w:r>
          </w:p>
        </w:tc>
      </w:tr>
      <w:tr>
        <w:trPr>
          <w:cantSplit w:val="0"/>
          <w:tblHeader w:val="0"/>
        </w:trPr>
        <w:tc>
          <w:tcPr>
            <w:vMerge w:val="continue"/>
            <w:shd w:fill="auto" w:val="clea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8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4D1b Población rural (sin alcantarillado)</w:t>
            </w:r>
          </w:p>
        </w:tc>
      </w:tr>
      <w:tr>
        <w:trPr>
          <w:cantSplit w:val="0"/>
          <w:tblHeader w:val="0"/>
        </w:trPr>
        <w:tc>
          <w:tcPr>
            <w:vMerge w:val="continue"/>
            <w:shd w:fill="auto" w:val="clea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78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4D2 Tratamiento y eliminación de aguas residuales industriales</w:t>
            </w:r>
          </w:p>
        </w:tc>
      </w:tr>
    </w:tbl>
    <w:p w:rsidR="00000000" w:rsidDel="00000000" w:rsidP="00000000" w:rsidRDefault="00000000" w:rsidRPr="00000000" w14:paraId="000007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a partir de los lineamientos IPCC (2006) y sus refinamientos 2019</w:t>
      </w:r>
    </w:p>
    <w:p w:rsidR="00000000" w:rsidDel="00000000" w:rsidP="00000000" w:rsidRDefault="00000000" w:rsidRPr="00000000" w14:paraId="00000788">
      <w:pPr>
        <w:jc w:val="both"/>
        <w:rPr>
          <w:rFonts w:ascii="Arial" w:cs="Arial" w:eastAsia="Arial" w:hAnsi="Arial"/>
        </w:rPr>
      </w:pPr>
      <w:r w:rsidDel="00000000" w:rsidR="00000000" w:rsidRPr="00000000">
        <w:rPr>
          <w:rtl w:val="0"/>
        </w:rPr>
      </w:r>
    </w:p>
    <w:p w:rsidR="00000000" w:rsidDel="00000000" w:rsidP="00000000" w:rsidRDefault="00000000" w:rsidRPr="00000000" w14:paraId="00000789">
      <w:pPr>
        <w:keepNext w:val="1"/>
        <w:spacing w:after="200" w:lineRule="auto"/>
        <w:jc w:val="center"/>
        <w:rPr>
          <w:i w:val="1"/>
          <w:color w:val="44546a"/>
          <w:sz w:val="18"/>
          <w:szCs w:val="18"/>
        </w:rPr>
      </w:pPr>
      <w:r w:rsidDel="00000000" w:rsidR="00000000" w:rsidRPr="00000000">
        <w:rPr>
          <w:i w:val="1"/>
          <w:color w:val="44546a"/>
          <w:sz w:val="18"/>
          <w:szCs w:val="18"/>
          <w:rtl w:val="0"/>
        </w:rPr>
        <w:t xml:space="preserve">Categorías del inventario de carbono negro y gases precursores estimadas y reportadas en el BUR3</w:t>
      </w:r>
    </w:p>
    <w:tbl>
      <w:tblPr>
        <w:tblStyle w:val="Table8"/>
        <w:tblW w:w="89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6"/>
        <w:gridCol w:w="1362"/>
        <w:gridCol w:w="1606"/>
        <w:gridCol w:w="4552"/>
        <w:tblGridChange w:id="0">
          <w:tblGrid>
            <w:gridCol w:w="1406"/>
            <w:gridCol w:w="1362"/>
            <w:gridCol w:w="1606"/>
            <w:gridCol w:w="4552"/>
          </w:tblGrid>
        </w:tblGridChange>
      </w:tblGrid>
      <w:tr>
        <w:trPr>
          <w:cantSplit w:val="0"/>
          <w:tblHeader w:val="0"/>
        </w:trPr>
        <w:tc>
          <w:tcPr>
            <w:shd w:fill="auto" w:val="clear"/>
          </w:tcPr>
          <w:p w:rsidR="00000000" w:rsidDel="00000000" w:rsidP="00000000" w:rsidRDefault="00000000" w:rsidRPr="00000000" w14:paraId="0000078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MÓDULO</w:t>
            </w:r>
          </w:p>
        </w:tc>
        <w:tc>
          <w:tcPr>
            <w:shd w:fill="auto" w:val="clear"/>
          </w:tcPr>
          <w:p w:rsidR="00000000" w:rsidDel="00000000" w:rsidP="00000000" w:rsidRDefault="00000000" w:rsidRPr="00000000" w14:paraId="0000078B">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CAPÍTULO</w:t>
            </w:r>
          </w:p>
        </w:tc>
        <w:tc>
          <w:tcPr>
            <w:shd w:fill="auto" w:val="clear"/>
          </w:tcPr>
          <w:p w:rsidR="00000000" w:rsidDel="00000000" w:rsidP="00000000" w:rsidRDefault="00000000" w:rsidRPr="00000000" w14:paraId="0000078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CATEGORÍA</w:t>
            </w:r>
          </w:p>
        </w:tc>
        <w:tc>
          <w:tcPr>
            <w:shd w:fill="auto" w:val="clear"/>
          </w:tcPr>
          <w:p w:rsidR="00000000" w:rsidDel="00000000" w:rsidP="00000000" w:rsidRDefault="00000000" w:rsidRPr="00000000" w14:paraId="0000078D">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SUBCATEGORÍA</w:t>
            </w:r>
          </w:p>
        </w:tc>
      </w:tr>
      <w:tr>
        <w:trPr>
          <w:cantSplit w:val="0"/>
          <w:tblHeader w:val="0"/>
        </w:trPr>
        <w:tc>
          <w:tcPr>
            <w:vMerge w:val="restart"/>
            <w:shd w:fill="auto" w:val="clear"/>
          </w:tcPr>
          <w:p w:rsidR="00000000" w:rsidDel="00000000" w:rsidP="00000000" w:rsidRDefault="00000000" w:rsidRPr="00000000" w14:paraId="0000078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 Energía</w:t>
            </w:r>
          </w:p>
        </w:tc>
        <w:tc>
          <w:tcPr>
            <w:vMerge w:val="restart"/>
            <w:shd w:fill="auto" w:val="clear"/>
          </w:tcPr>
          <w:p w:rsidR="00000000" w:rsidDel="00000000" w:rsidP="00000000" w:rsidRDefault="00000000" w:rsidRPr="00000000" w14:paraId="0000078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 Actividades de quema de</w:t>
            </w:r>
          </w:p>
          <w:p w:rsidR="00000000" w:rsidDel="00000000" w:rsidP="00000000" w:rsidRDefault="00000000" w:rsidRPr="00000000" w14:paraId="0000079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combustible</w:t>
            </w:r>
          </w:p>
        </w:tc>
        <w:tc>
          <w:tcPr>
            <w:vMerge w:val="restart"/>
            <w:shd w:fill="auto" w:val="clear"/>
          </w:tcPr>
          <w:p w:rsidR="00000000" w:rsidDel="00000000" w:rsidP="00000000" w:rsidRDefault="00000000" w:rsidRPr="00000000" w14:paraId="0000079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 Industrias de la energía</w:t>
            </w:r>
          </w:p>
        </w:tc>
        <w:tc>
          <w:tcPr>
            <w:shd w:fill="auto" w:val="clear"/>
          </w:tcPr>
          <w:p w:rsidR="00000000" w:rsidDel="00000000" w:rsidP="00000000" w:rsidRDefault="00000000" w:rsidRPr="00000000" w14:paraId="0000079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1A1a Producción de electricidad y calor como actividad principal</w:t>
            </w:r>
          </w:p>
        </w:tc>
      </w:tr>
      <w:tr>
        <w:trPr>
          <w:cantSplit w:val="0"/>
          <w:tblHeader w:val="0"/>
        </w:trPr>
        <w:tc>
          <w:tcPr>
            <w:vMerge w:val="continue"/>
            <w:shd w:fill="auto" w:val="clea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9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1A1b Refinación de petróleo</w:t>
            </w:r>
          </w:p>
        </w:tc>
      </w:tr>
      <w:tr>
        <w:trPr>
          <w:cantSplit w:val="0"/>
          <w:tblHeader w:val="0"/>
        </w:trPr>
        <w:tc>
          <w:tcPr>
            <w:vMerge w:val="continue"/>
            <w:shd w:fill="auto" w:val="clea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9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1A1c Fabricación de combustibles sólidos y otras industrias energéticas</w:t>
            </w:r>
          </w:p>
        </w:tc>
      </w:tr>
      <w:tr>
        <w:trPr>
          <w:cantSplit w:val="0"/>
          <w:tblHeader w:val="0"/>
        </w:trPr>
        <w:tc>
          <w:tcPr>
            <w:vMerge w:val="continue"/>
            <w:shd w:fill="auto"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9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 Industrias</w:t>
            </w:r>
          </w:p>
          <w:p w:rsidR="00000000" w:rsidDel="00000000" w:rsidP="00000000" w:rsidRDefault="00000000" w:rsidRPr="00000000" w14:paraId="0000079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manufactureras y de la construcción</w:t>
            </w:r>
          </w:p>
        </w:tc>
        <w:tc>
          <w:tcPr>
            <w:shd w:fill="auto" w:val="clear"/>
          </w:tcPr>
          <w:p w:rsidR="00000000" w:rsidDel="00000000" w:rsidP="00000000" w:rsidRDefault="00000000" w:rsidRPr="00000000" w14:paraId="0000079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1A2a Hierro y acero</w:t>
            </w:r>
          </w:p>
        </w:tc>
      </w:tr>
      <w:tr>
        <w:trPr>
          <w:cantSplit w:val="0"/>
          <w:tblHeader w:val="0"/>
        </w:trPr>
        <w:tc>
          <w:tcPr>
            <w:vMerge w:val="continue"/>
            <w:shd w:fill="auto" w:val="clear"/>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A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1A2b Metales no ferrosos</w:t>
            </w:r>
          </w:p>
        </w:tc>
      </w:tr>
      <w:tr>
        <w:trPr>
          <w:cantSplit w:val="0"/>
          <w:tblHeader w:val="0"/>
        </w:trPr>
        <w:tc>
          <w:tcPr>
            <w:vMerge w:val="continue"/>
            <w:shd w:fill="auto" w:val="clea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1A2c Productos químicos</w:t>
            </w:r>
          </w:p>
        </w:tc>
      </w:tr>
      <w:tr>
        <w:trPr>
          <w:cantSplit w:val="0"/>
          <w:tblHeader w:val="0"/>
        </w:trPr>
        <w:tc>
          <w:tcPr>
            <w:vMerge w:val="continue"/>
            <w:shd w:fill="auto" w:val="clea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1A2d Pulpa, papel e imprenta</w:t>
            </w:r>
          </w:p>
        </w:tc>
      </w:tr>
      <w:tr>
        <w:trPr>
          <w:cantSplit w:val="0"/>
          <w:tblHeader w:val="0"/>
        </w:trPr>
        <w:tc>
          <w:tcPr>
            <w:vMerge w:val="continue"/>
            <w:shd w:fill="auto" w:val="clea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A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1A2e Procesamiento de alimentos, bebidas y tabaco</w:t>
            </w:r>
          </w:p>
        </w:tc>
      </w:tr>
      <w:tr>
        <w:trPr>
          <w:cantSplit w:val="0"/>
          <w:tblHeader w:val="0"/>
        </w:trPr>
        <w:tc>
          <w:tcPr>
            <w:vMerge w:val="continue"/>
            <w:shd w:fill="auto" w:val="clear"/>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B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1A2f Minerales no metálicos</w:t>
            </w:r>
          </w:p>
        </w:tc>
      </w:tr>
      <w:tr>
        <w:trPr>
          <w:cantSplit w:val="0"/>
          <w:tblHeader w:val="0"/>
        </w:trPr>
        <w:tc>
          <w:tcPr>
            <w:vMerge w:val="continue"/>
            <w:shd w:fill="auto" w:val="clea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B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1A2g Otras fuentes</w:t>
            </w:r>
          </w:p>
        </w:tc>
      </w:tr>
      <w:tr>
        <w:trPr>
          <w:cantSplit w:val="0"/>
          <w:tblHeader w:val="0"/>
        </w:trPr>
        <w:tc>
          <w:tcPr>
            <w:vMerge w:val="continue"/>
            <w:shd w:fill="auto" w:val="clear"/>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B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 Transporte</w:t>
            </w:r>
          </w:p>
        </w:tc>
        <w:tc>
          <w:tcPr>
            <w:shd w:fill="auto" w:val="clear"/>
          </w:tcPr>
          <w:p w:rsidR="00000000" w:rsidDel="00000000" w:rsidP="00000000" w:rsidRDefault="00000000" w:rsidRPr="00000000" w14:paraId="000007B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1A3a Aviación civil</w:t>
            </w:r>
          </w:p>
        </w:tc>
      </w:tr>
      <w:tr>
        <w:trPr>
          <w:cantSplit w:val="0"/>
          <w:tblHeader w:val="0"/>
        </w:trPr>
        <w:tc>
          <w:tcPr>
            <w:vMerge w:val="continue"/>
            <w:shd w:fill="auto" w:val="clea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B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1A3b Transporte terrestre</w:t>
            </w:r>
          </w:p>
        </w:tc>
      </w:tr>
      <w:tr>
        <w:trPr>
          <w:cantSplit w:val="0"/>
          <w:tblHeader w:val="0"/>
        </w:trPr>
        <w:tc>
          <w:tcPr>
            <w:vMerge w:val="continue"/>
            <w:shd w:fill="auto" w:val="clear"/>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C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1A3c Ferrocarriles</w:t>
            </w:r>
          </w:p>
        </w:tc>
      </w:tr>
      <w:tr>
        <w:trPr>
          <w:cantSplit w:val="0"/>
          <w:tblHeader w:val="0"/>
        </w:trPr>
        <w:tc>
          <w:tcPr>
            <w:vMerge w:val="continue"/>
            <w:shd w:fill="auto" w:val="clea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C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1A3d Navegación marítima y fluvial</w:t>
            </w:r>
          </w:p>
        </w:tc>
      </w:tr>
      <w:tr>
        <w:trPr>
          <w:cantSplit w:val="0"/>
          <w:tblHeader w:val="0"/>
        </w:trPr>
        <w:tc>
          <w:tcPr>
            <w:vMerge w:val="continue"/>
            <w:shd w:fill="auto" w:val="clear"/>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C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 Otros sectores</w:t>
            </w:r>
          </w:p>
        </w:tc>
        <w:tc>
          <w:tcPr>
            <w:shd w:fill="auto" w:val="clear"/>
          </w:tcPr>
          <w:p w:rsidR="00000000" w:rsidDel="00000000" w:rsidP="00000000" w:rsidRDefault="00000000" w:rsidRPr="00000000" w14:paraId="000007C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1A4a Comercial e institucional</w:t>
            </w:r>
          </w:p>
        </w:tc>
      </w:tr>
      <w:tr>
        <w:trPr>
          <w:cantSplit w:val="0"/>
          <w:tblHeader w:val="0"/>
        </w:trPr>
        <w:tc>
          <w:tcPr>
            <w:vMerge w:val="continue"/>
            <w:shd w:fill="auto" w:val="clear"/>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C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1A4b Residencial</w:t>
            </w:r>
          </w:p>
        </w:tc>
      </w:tr>
      <w:tr>
        <w:trPr>
          <w:cantSplit w:val="0"/>
          <w:tblHeader w:val="0"/>
        </w:trPr>
        <w:tc>
          <w:tcPr>
            <w:vMerge w:val="continue"/>
            <w:shd w:fill="auto" w:val="clea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D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1A4c Agricultura, silvicultura, pesca</w:t>
            </w:r>
          </w:p>
        </w:tc>
      </w:tr>
      <w:tr>
        <w:trPr>
          <w:cantSplit w:val="0"/>
          <w:tblHeader w:val="0"/>
        </w:trPr>
        <w:tc>
          <w:tcPr>
            <w:vMerge w:val="continue"/>
            <w:shd w:fill="auto" w:val="clea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D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 Emisiones fugitivas provenientes de la fabricación de combustible</w:t>
            </w:r>
          </w:p>
        </w:tc>
        <w:tc>
          <w:tcPr>
            <w:vMerge w:val="restart"/>
            <w:shd w:fill="auto" w:val="clear"/>
          </w:tcPr>
          <w:p w:rsidR="00000000" w:rsidDel="00000000" w:rsidP="00000000" w:rsidRDefault="00000000" w:rsidRPr="00000000" w14:paraId="000007D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1B1 Combustibles</w:t>
            </w:r>
          </w:p>
          <w:p w:rsidR="00000000" w:rsidDel="00000000" w:rsidP="00000000" w:rsidRDefault="00000000" w:rsidRPr="00000000" w14:paraId="000007D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sólidos</w:t>
            </w:r>
          </w:p>
        </w:tc>
        <w:tc>
          <w:tcPr>
            <w:shd w:fill="auto" w:val="clear"/>
          </w:tcPr>
          <w:p w:rsidR="00000000" w:rsidDel="00000000" w:rsidP="00000000" w:rsidRDefault="00000000" w:rsidRPr="00000000" w14:paraId="000007D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1B1a Minería carbonífera y manejo del carbón</w:t>
            </w:r>
          </w:p>
        </w:tc>
      </w:tr>
      <w:tr>
        <w:trPr>
          <w:cantSplit w:val="0"/>
          <w:tblHeader w:val="0"/>
        </w:trPr>
        <w:tc>
          <w:tcPr>
            <w:vMerge w:val="continue"/>
            <w:shd w:fill="auto" w:val="clea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D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1B1b Transformación de combustibles sólidos</w:t>
            </w:r>
          </w:p>
        </w:tc>
      </w:tr>
      <w:tr>
        <w:trPr>
          <w:cantSplit w:val="0"/>
          <w:tblHeader w:val="0"/>
        </w:trPr>
        <w:tc>
          <w:tcPr>
            <w:vMerge w:val="continue"/>
            <w:shd w:fill="auto" w:val="clea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D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 Petróleo y gas natural</w:t>
            </w:r>
          </w:p>
        </w:tc>
        <w:tc>
          <w:tcPr>
            <w:shd w:fill="auto" w:val="clear"/>
          </w:tcPr>
          <w:p w:rsidR="00000000" w:rsidDel="00000000" w:rsidP="00000000" w:rsidRDefault="00000000" w:rsidRPr="00000000" w14:paraId="000007E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1B2a Petróleo</w:t>
            </w:r>
          </w:p>
        </w:tc>
      </w:tr>
      <w:tr>
        <w:trPr>
          <w:cantSplit w:val="0"/>
          <w:tblHeader w:val="0"/>
        </w:trPr>
        <w:tc>
          <w:tcPr>
            <w:vMerge w:val="continue"/>
            <w:shd w:fill="auto" w:val="clear"/>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E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1B2b Gas natural</w:t>
            </w:r>
          </w:p>
        </w:tc>
      </w:tr>
      <w:tr>
        <w:trPr>
          <w:cantSplit w:val="0"/>
          <w:tblHeader w:val="0"/>
        </w:trPr>
        <w:tc>
          <w:tcPr>
            <w:vMerge w:val="continue"/>
            <w:shd w:fill="auto" w:val="clea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E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1B2c Ventilación y quema</w:t>
            </w:r>
          </w:p>
        </w:tc>
      </w:tr>
      <w:tr>
        <w:trPr>
          <w:cantSplit w:val="0"/>
          <w:tblHeader w:val="0"/>
        </w:trPr>
        <w:tc>
          <w:tcPr>
            <w:vMerge w:val="restart"/>
            <w:shd w:fill="auto" w:val="clear"/>
          </w:tcPr>
          <w:p w:rsidR="00000000" w:rsidDel="00000000" w:rsidP="00000000" w:rsidRDefault="00000000" w:rsidRPr="00000000" w14:paraId="000007E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Procesos Industriales y Uso de Productos</w:t>
            </w:r>
          </w:p>
        </w:tc>
        <w:tc>
          <w:tcPr>
            <w:vMerge w:val="restart"/>
            <w:shd w:fill="auto" w:val="clear"/>
          </w:tcPr>
          <w:p w:rsidR="00000000" w:rsidDel="00000000" w:rsidP="00000000" w:rsidRDefault="00000000" w:rsidRPr="00000000" w14:paraId="000007E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 Industria de los</w:t>
            </w:r>
          </w:p>
          <w:p w:rsidR="00000000" w:rsidDel="00000000" w:rsidP="00000000" w:rsidRDefault="00000000" w:rsidRPr="00000000" w14:paraId="000007E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minerales</w:t>
            </w:r>
          </w:p>
        </w:tc>
        <w:tc>
          <w:tcPr>
            <w:gridSpan w:val="2"/>
            <w:shd w:fill="auto" w:val="clear"/>
          </w:tcPr>
          <w:p w:rsidR="00000000" w:rsidDel="00000000" w:rsidP="00000000" w:rsidRDefault="00000000" w:rsidRPr="00000000" w14:paraId="000007E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2A1 Producción de cemento</w:t>
            </w:r>
          </w:p>
        </w:tc>
      </w:tr>
      <w:tr>
        <w:trPr>
          <w:cantSplit w:val="0"/>
          <w:tblHeader w:val="0"/>
        </w:trPr>
        <w:tc>
          <w:tcPr>
            <w:vMerge w:val="continue"/>
            <w:shd w:fill="auto" w:val="clea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7F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2A2 Producción de cal</w:t>
            </w:r>
          </w:p>
        </w:tc>
      </w:tr>
      <w:tr>
        <w:trPr>
          <w:cantSplit w:val="0"/>
          <w:tblHeader w:val="0"/>
        </w:trPr>
        <w:tc>
          <w:tcPr>
            <w:vMerge w:val="continue"/>
            <w:shd w:fill="auto" w:val="clea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7F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2A3 Producción de vidrio</w:t>
            </w:r>
          </w:p>
        </w:tc>
      </w:tr>
      <w:tr>
        <w:trPr>
          <w:cantSplit w:val="0"/>
          <w:tblHeader w:val="0"/>
        </w:trPr>
        <w:tc>
          <w:tcPr>
            <w:vMerge w:val="continue"/>
            <w:shd w:fill="auto" w:val="cle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F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2A5 Otra industria</w:t>
            </w:r>
          </w:p>
        </w:tc>
        <w:tc>
          <w:tcPr>
            <w:shd w:fill="auto" w:val="clear"/>
          </w:tcPr>
          <w:p w:rsidR="00000000" w:rsidDel="00000000" w:rsidP="00000000" w:rsidRDefault="00000000" w:rsidRPr="00000000" w14:paraId="000007F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2A5a Cantería y minería de minerales diferentes al carbón</w:t>
            </w:r>
          </w:p>
        </w:tc>
      </w:tr>
      <w:tr>
        <w:trPr>
          <w:cantSplit w:val="0"/>
          <w:tblHeader w:val="0"/>
        </w:trPr>
        <w:tc>
          <w:tcPr>
            <w:vMerge w:val="continue"/>
            <w:shd w:fill="auto" w:val="clea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7F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2A5b Construcciones y demoliciones</w:t>
            </w:r>
          </w:p>
        </w:tc>
      </w:tr>
      <w:tr>
        <w:trPr>
          <w:cantSplit w:val="0"/>
          <w:tblHeader w:val="0"/>
        </w:trPr>
        <w:tc>
          <w:tcPr>
            <w:vMerge w:val="continue"/>
            <w:shd w:fill="auto" w:val="clea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7F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 Industria Química</w:t>
            </w:r>
          </w:p>
        </w:tc>
        <w:tc>
          <w:tcPr>
            <w:gridSpan w:val="2"/>
            <w:shd w:fill="auto" w:val="clear"/>
          </w:tcPr>
          <w:p w:rsidR="00000000" w:rsidDel="00000000" w:rsidP="00000000" w:rsidRDefault="00000000" w:rsidRPr="00000000" w14:paraId="0000080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2B1 Producción de amoníaco</w:t>
            </w:r>
          </w:p>
        </w:tc>
      </w:tr>
      <w:tr>
        <w:trPr>
          <w:cantSplit w:val="0"/>
          <w:tblHeader w:val="0"/>
        </w:trPr>
        <w:tc>
          <w:tcPr>
            <w:vMerge w:val="continue"/>
            <w:shd w:fill="auto"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0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2B2 Producción de ácido nítrico</w:t>
            </w:r>
          </w:p>
        </w:tc>
      </w:tr>
      <w:tr>
        <w:trPr>
          <w:cantSplit w:val="0"/>
          <w:tblHeader w:val="0"/>
        </w:trPr>
        <w:tc>
          <w:tcPr>
            <w:vMerge w:val="continue"/>
            <w:shd w:fill="auto" w:val="clea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0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2B10 Otros</w:t>
            </w:r>
          </w:p>
        </w:tc>
        <w:tc>
          <w:tcPr>
            <w:shd w:fill="auto" w:val="clear"/>
          </w:tcPr>
          <w:p w:rsidR="00000000" w:rsidDel="00000000" w:rsidP="00000000" w:rsidRDefault="00000000" w:rsidRPr="00000000" w14:paraId="0000080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2B10a Otra industria química</w:t>
            </w:r>
          </w:p>
        </w:tc>
      </w:tr>
      <w:tr>
        <w:trPr>
          <w:cantSplit w:val="0"/>
          <w:tblHeader w:val="0"/>
        </w:trPr>
        <w:tc>
          <w:tcPr>
            <w:vMerge w:val="continue"/>
            <w:shd w:fill="auto" w:val="clea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0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 Industria de los metales</w:t>
            </w:r>
          </w:p>
        </w:tc>
        <w:tc>
          <w:tcPr>
            <w:gridSpan w:val="2"/>
            <w:shd w:fill="auto" w:val="clear"/>
          </w:tcPr>
          <w:p w:rsidR="00000000" w:rsidDel="00000000" w:rsidP="00000000" w:rsidRDefault="00000000" w:rsidRPr="00000000" w14:paraId="0000080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2C1 Producción de hierro y acero</w:t>
            </w:r>
          </w:p>
        </w:tc>
      </w:tr>
      <w:tr>
        <w:trPr>
          <w:cantSplit w:val="0"/>
          <w:tblHeader w:val="0"/>
        </w:trPr>
        <w:tc>
          <w:tcPr>
            <w:vMerge w:val="continue"/>
            <w:shd w:fill="auto"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1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2C2 Producción de ferroaleaciones</w:t>
            </w:r>
          </w:p>
        </w:tc>
      </w:tr>
      <w:tr>
        <w:trPr>
          <w:cantSplit w:val="0"/>
          <w:tblHeader w:val="0"/>
        </w:trPr>
        <w:tc>
          <w:tcPr>
            <w:vMerge w:val="continue"/>
            <w:shd w:fill="auto"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1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2C5 Producción de plomo</w:t>
            </w:r>
          </w:p>
        </w:tc>
      </w:tr>
      <w:tr>
        <w:trPr>
          <w:cantSplit w:val="0"/>
          <w:tblHeader w:val="0"/>
        </w:trPr>
        <w:tc>
          <w:tcPr>
            <w:vMerge w:val="continue"/>
            <w:shd w:fill="auto" w:val="cle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1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 Uso de productos y de solvente</w:t>
            </w:r>
          </w:p>
        </w:tc>
        <w:tc>
          <w:tcPr>
            <w:vMerge w:val="restart"/>
            <w:shd w:fill="auto" w:val="clear"/>
          </w:tcPr>
          <w:p w:rsidR="00000000" w:rsidDel="00000000" w:rsidP="00000000" w:rsidRDefault="00000000" w:rsidRPr="00000000" w14:paraId="0000081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2D3 Uso de solventes</w:t>
            </w:r>
          </w:p>
        </w:tc>
        <w:tc>
          <w:tcPr>
            <w:shd w:fill="auto" w:val="clear"/>
          </w:tcPr>
          <w:p w:rsidR="00000000" w:rsidDel="00000000" w:rsidP="00000000" w:rsidRDefault="00000000" w:rsidRPr="00000000" w14:paraId="0000081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2D3a Uso doméstico de solventes, incluidos fungicidas</w:t>
            </w:r>
          </w:p>
        </w:tc>
      </w:tr>
      <w:tr>
        <w:trPr>
          <w:cantSplit w:val="0"/>
          <w:tblHeader w:val="0"/>
        </w:trPr>
        <w:tc>
          <w:tcPr>
            <w:vMerge w:val="continue"/>
            <w:shd w:fill="auto"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1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2D3e Desengrasantes</w:t>
            </w:r>
          </w:p>
        </w:tc>
      </w:tr>
      <w:tr>
        <w:trPr>
          <w:cantSplit w:val="0"/>
          <w:tblHeader w:val="0"/>
        </w:trPr>
        <w:tc>
          <w:tcPr>
            <w:vMerge w:val="continue"/>
            <w:shd w:fill="auto" w:val="clear"/>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2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2D3h Impresión</w:t>
            </w:r>
          </w:p>
        </w:tc>
      </w:tr>
      <w:tr>
        <w:trPr>
          <w:cantSplit w:val="0"/>
          <w:tblHeader w:val="0"/>
        </w:trPr>
        <w:tc>
          <w:tcPr>
            <w:vMerge w:val="continue"/>
            <w:shd w:fill="auto" w:val="clear"/>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2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2D3i Otro uso de solventes y productos</w:t>
            </w:r>
          </w:p>
        </w:tc>
      </w:tr>
      <w:tr>
        <w:trPr>
          <w:cantSplit w:val="0"/>
          <w:tblHeader w:val="0"/>
        </w:trPr>
        <w:tc>
          <w:tcPr>
            <w:vMerge w:val="continue"/>
            <w:shd w:fill="auto" w:val="clea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2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2D2 Uso de cera de parafina</w:t>
            </w:r>
          </w:p>
        </w:tc>
      </w:tr>
      <w:tr>
        <w:trPr>
          <w:cantSplit w:val="0"/>
          <w:tblHeader w:val="0"/>
        </w:trPr>
        <w:tc>
          <w:tcPr>
            <w:vMerge w:val="continue"/>
            <w:shd w:fill="auto" w:val="clear"/>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2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2H Otros</w:t>
            </w:r>
          </w:p>
        </w:tc>
        <w:tc>
          <w:tcPr>
            <w:gridSpan w:val="2"/>
            <w:shd w:fill="auto" w:val="clear"/>
          </w:tcPr>
          <w:p w:rsidR="00000000" w:rsidDel="00000000" w:rsidP="00000000" w:rsidRDefault="00000000" w:rsidRPr="00000000" w14:paraId="0000082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2H1 Industria de pulpa y papel</w:t>
            </w:r>
          </w:p>
        </w:tc>
      </w:tr>
      <w:tr>
        <w:trPr>
          <w:cantSplit w:val="0"/>
          <w:tblHeader w:val="0"/>
        </w:trPr>
        <w:tc>
          <w:tcPr>
            <w:vMerge w:val="continue"/>
            <w:shd w:fill="auto" w:val="clear"/>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3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2H2 Industria de la alimentación y bebidas</w:t>
            </w:r>
          </w:p>
        </w:tc>
      </w:tr>
      <w:tr>
        <w:trPr>
          <w:cantSplit w:val="0"/>
          <w:tblHeader w:val="0"/>
        </w:trPr>
        <w:tc>
          <w:tcPr>
            <w:vMerge w:val="restart"/>
            <w:shd w:fill="auto" w:val="clear"/>
          </w:tcPr>
          <w:p w:rsidR="00000000" w:rsidDel="00000000" w:rsidP="00000000" w:rsidRDefault="00000000" w:rsidRPr="00000000" w14:paraId="00000832">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Agropecuario</w:t>
            </w:r>
          </w:p>
        </w:tc>
        <w:tc>
          <w:tcPr>
            <w:vMerge w:val="restart"/>
            <w:shd w:fill="auto" w:val="clear"/>
          </w:tcPr>
          <w:p w:rsidR="00000000" w:rsidDel="00000000" w:rsidP="00000000" w:rsidRDefault="00000000" w:rsidRPr="00000000" w14:paraId="0000083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 Gestión del estiércol</w:t>
            </w:r>
          </w:p>
        </w:tc>
        <w:tc>
          <w:tcPr>
            <w:vMerge w:val="restart"/>
            <w:shd w:fill="auto" w:val="clear"/>
          </w:tcPr>
          <w:p w:rsidR="00000000" w:rsidDel="00000000" w:rsidP="00000000" w:rsidRDefault="00000000" w:rsidRPr="00000000" w14:paraId="0000083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 Total ganado bovino</w:t>
            </w:r>
          </w:p>
        </w:tc>
        <w:tc>
          <w:tcPr>
            <w:shd w:fill="auto" w:val="clear"/>
          </w:tcPr>
          <w:p w:rsidR="00000000" w:rsidDel="00000000" w:rsidP="00000000" w:rsidRDefault="00000000" w:rsidRPr="00000000" w14:paraId="0000083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3B1a Ganado bovino lechero</w:t>
            </w:r>
          </w:p>
        </w:tc>
      </w:tr>
      <w:tr>
        <w:trPr>
          <w:cantSplit w:val="0"/>
          <w:tblHeader w:val="0"/>
        </w:trPr>
        <w:tc>
          <w:tcPr>
            <w:vMerge w:val="continue"/>
            <w:shd w:fill="auto"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3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3B1b Ganado bovino no lechero</w:t>
            </w:r>
          </w:p>
        </w:tc>
      </w:tr>
      <w:tr>
        <w:trPr>
          <w:cantSplit w:val="0"/>
          <w:tblHeader w:val="0"/>
        </w:trPr>
        <w:tc>
          <w:tcPr>
            <w:vMerge w:val="continue"/>
            <w:shd w:fill="auto" w:val="clea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3C">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3B2 Ovinos</w:t>
            </w:r>
          </w:p>
        </w:tc>
      </w:tr>
      <w:tr>
        <w:trPr>
          <w:cantSplit w:val="0"/>
          <w:tblHeader w:val="0"/>
        </w:trPr>
        <w:tc>
          <w:tcPr>
            <w:vMerge w:val="continue"/>
            <w:shd w:fill="auto" w:val="clea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4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3B3 Porcino</w:t>
            </w:r>
          </w:p>
        </w:tc>
      </w:tr>
      <w:tr>
        <w:trPr>
          <w:cantSplit w:val="0"/>
          <w:tblHeader w:val="0"/>
        </w:trPr>
        <w:tc>
          <w:tcPr>
            <w:vMerge w:val="continue"/>
            <w:shd w:fill="auto" w:val="clea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4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 Otros</w:t>
            </w:r>
          </w:p>
        </w:tc>
        <w:tc>
          <w:tcPr>
            <w:shd w:fill="auto" w:val="clear"/>
          </w:tcPr>
          <w:p w:rsidR="00000000" w:rsidDel="00000000" w:rsidP="00000000" w:rsidRDefault="00000000" w:rsidRPr="00000000" w14:paraId="0000084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3B4a Búfalos</w:t>
            </w:r>
          </w:p>
        </w:tc>
      </w:tr>
      <w:tr>
        <w:trPr>
          <w:cantSplit w:val="0"/>
          <w:tblHeader w:val="0"/>
        </w:trPr>
        <w:tc>
          <w:tcPr>
            <w:vMerge w:val="continue"/>
            <w:shd w:fill="auto" w:val="clea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4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3B4d Caprinos</w:t>
            </w:r>
          </w:p>
        </w:tc>
      </w:tr>
      <w:tr>
        <w:trPr>
          <w:cantSplit w:val="0"/>
          <w:tblHeader w:val="0"/>
        </w:trPr>
        <w:tc>
          <w:tcPr>
            <w:vMerge w:val="continue"/>
            <w:shd w:fill="auto" w:val="clear"/>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4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3B4e Caballos</w:t>
            </w:r>
          </w:p>
        </w:tc>
      </w:tr>
      <w:tr>
        <w:trPr>
          <w:cantSplit w:val="0"/>
          <w:tblHeader w:val="0"/>
        </w:trPr>
        <w:tc>
          <w:tcPr>
            <w:vMerge w:val="continue"/>
            <w:shd w:fill="auto" w:val="clea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5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3B4f Mulas y asnos</w:t>
            </w:r>
          </w:p>
        </w:tc>
      </w:tr>
      <w:tr>
        <w:trPr>
          <w:cantSplit w:val="0"/>
          <w:tblHeader w:val="0"/>
        </w:trPr>
        <w:tc>
          <w:tcPr>
            <w:vMerge w:val="continue"/>
            <w:shd w:fill="auto" w:val="clear"/>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5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3B4g Aves</w:t>
            </w:r>
          </w:p>
        </w:tc>
      </w:tr>
      <w:tr>
        <w:trPr>
          <w:cantSplit w:val="0"/>
          <w:tblHeader w:val="0"/>
        </w:trPr>
        <w:tc>
          <w:tcPr>
            <w:vMerge w:val="continue"/>
            <w:shd w:fill="auto"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5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 Producción de cultivos y suelos agrícolas</w:t>
            </w:r>
          </w:p>
        </w:tc>
        <w:tc>
          <w:tcPr>
            <w:vMerge w:val="restart"/>
            <w:shd w:fill="auto" w:val="clear"/>
          </w:tcPr>
          <w:p w:rsidR="00000000" w:rsidDel="00000000" w:rsidP="00000000" w:rsidRDefault="00000000" w:rsidRPr="00000000" w14:paraId="0000085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3Da Suelos agrícolas</w:t>
            </w:r>
          </w:p>
        </w:tc>
        <w:tc>
          <w:tcPr>
            <w:shd w:fill="auto" w:val="clear"/>
          </w:tcPr>
          <w:p w:rsidR="00000000" w:rsidDel="00000000" w:rsidP="00000000" w:rsidRDefault="00000000" w:rsidRPr="00000000" w14:paraId="0000085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3Da1 Fertilizantes Inorgánicos</w:t>
            </w:r>
          </w:p>
        </w:tc>
      </w:tr>
      <w:tr>
        <w:trPr>
          <w:cantSplit w:val="0"/>
          <w:tblHeader w:val="0"/>
        </w:trPr>
        <w:tc>
          <w:tcPr>
            <w:vMerge w:val="continue"/>
            <w:shd w:fill="auto"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5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3Da2a Estiércol de ganado aplicado a suelos</w:t>
            </w:r>
          </w:p>
        </w:tc>
      </w:tr>
      <w:tr>
        <w:trPr>
          <w:cantSplit w:val="0"/>
          <w:tblHeader w:val="0"/>
        </w:trPr>
        <w:tc>
          <w:tcPr>
            <w:vMerge w:val="continue"/>
            <w:shd w:fill="auto" w:val="clea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6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3Da3 Orina y estiércol depositados por el pastoreo del ganado</w:t>
            </w:r>
          </w:p>
        </w:tc>
      </w:tr>
      <w:tr>
        <w:trPr>
          <w:cantSplit w:val="0"/>
          <w:tblHeader w:val="0"/>
        </w:trPr>
        <w:tc>
          <w:tcPr>
            <w:vMerge w:val="continue"/>
            <w:shd w:fill="auto" w:val="clear"/>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6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3Dc Operaciones agrícolas</w:t>
            </w:r>
          </w:p>
        </w:tc>
      </w:tr>
      <w:tr>
        <w:trPr>
          <w:cantSplit w:val="0"/>
          <w:tblHeader w:val="0"/>
        </w:trPr>
        <w:tc>
          <w:tcPr>
            <w:vMerge w:val="continue"/>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68">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3De Cultivos en pie</w:t>
            </w:r>
          </w:p>
        </w:tc>
      </w:tr>
      <w:tr>
        <w:trPr>
          <w:cantSplit w:val="0"/>
          <w:tblHeader w:val="0"/>
        </w:trPr>
        <w:tc>
          <w:tcPr>
            <w:vMerge w:val="continue"/>
            <w:shd w:fill="auto" w:val="clear"/>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shd w:fill="auto" w:val="clear"/>
          </w:tcPr>
          <w:p w:rsidR="00000000" w:rsidDel="00000000" w:rsidP="00000000" w:rsidRDefault="00000000" w:rsidRPr="00000000" w14:paraId="0000086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3F Quema de residuos agrícolas en cultivos</w:t>
            </w:r>
          </w:p>
        </w:tc>
      </w:tr>
      <w:tr>
        <w:trPr>
          <w:cantSplit w:val="0"/>
          <w:trHeight w:val="94" w:hRule="atLeast"/>
          <w:tblHeader w:val="0"/>
        </w:trPr>
        <w:tc>
          <w:tcPr>
            <w:vMerge w:val="restart"/>
            <w:shd w:fill="auto" w:val="clear"/>
          </w:tcPr>
          <w:p w:rsidR="00000000" w:rsidDel="00000000" w:rsidP="00000000" w:rsidRDefault="00000000" w:rsidRPr="00000000" w14:paraId="0000086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Residuos</w:t>
            </w:r>
          </w:p>
        </w:tc>
        <w:tc>
          <w:tcPr>
            <w:gridSpan w:val="3"/>
            <w:shd w:fill="auto" w:val="clear"/>
          </w:tcPr>
          <w:p w:rsidR="00000000" w:rsidDel="00000000" w:rsidP="00000000" w:rsidRDefault="00000000" w:rsidRPr="00000000" w14:paraId="0000086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5A Eliminación de desechos sólidos</w:t>
            </w:r>
          </w:p>
        </w:tc>
      </w:tr>
      <w:tr>
        <w:trPr>
          <w:cantSplit w:val="0"/>
          <w:tblHeader w:val="0"/>
        </w:trPr>
        <w:tc>
          <w:tcPr>
            <w:vMerge w:val="continue"/>
            <w:shd w:fill="auto" w:val="clear"/>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auto" w:val="clear"/>
          </w:tcPr>
          <w:p w:rsidR="00000000" w:rsidDel="00000000" w:rsidP="00000000" w:rsidRDefault="00000000" w:rsidRPr="00000000" w14:paraId="00000873">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 Incineración e incineración</w:t>
            </w:r>
          </w:p>
          <w:p w:rsidR="00000000" w:rsidDel="00000000" w:rsidP="00000000" w:rsidRDefault="00000000" w:rsidRPr="00000000" w14:paraId="00000874">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abierta de</w:t>
            </w:r>
          </w:p>
          <w:p w:rsidR="00000000" w:rsidDel="00000000" w:rsidP="00000000" w:rsidRDefault="00000000" w:rsidRPr="00000000" w14:paraId="0000087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desechos</w:t>
            </w:r>
          </w:p>
        </w:tc>
        <w:tc>
          <w:tcPr>
            <w:shd w:fill="auto" w:val="clear"/>
          </w:tcPr>
          <w:p w:rsidR="00000000" w:rsidDel="00000000" w:rsidP="00000000" w:rsidRDefault="00000000" w:rsidRPr="00000000" w14:paraId="00000876">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5C1 Incineración de desechos</w:t>
            </w:r>
          </w:p>
        </w:tc>
        <w:tc>
          <w:tcPr>
            <w:shd w:fill="auto" w:val="clear"/>
          </w:tcPr>
          <w:p w:rsidR="00000000" w:rsidDel="00000000" w:rsidP="00000000" w:rsidRDefault="00000000" w:rsidRPr="00000000" w14:paraId="0000087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5C1b Incineración de residuos industriales, incluidos residuos peligrosos y lodos</w:t>
            </w:r>
          </w:p>
        </w:tc>
      </w:tr>
      <w:tr>
        <w:trPr>
          <w:cantSplit w:val="0"/>
          <w:tblHeader w:val="0"/>
        </w:trPr>
        <w:tc>
          <w:tcPr>
            <w:vMerge w:val="continue"/>
            <w:shd w:fill="auto" w:val="clear"/>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auto" w:val="clear"/>
          </w:tcPr>
          <w:p w:rsidR="00000000" w:rsidDel="00000000" w:rsidP="00000000" w:rsidRDefault="00000000" w:rsidRPr="00000000" w14:paraId="0000087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5C2 Incineración abierta de desechos</w:t>
            </w:r>
          </w:p>
        </w:tc>
        <w:tc>
          <w:tcPr>
            <w:shd w:fill="auto" w:val="clear"/>
          </w:tcPr>
          <w:p w:rsidR="00000000" w:rsidDel="00000000" w:rsidP="00000000" w:rsidRDefault="00000000" w:rsidRPr="00000000" w14:paraId="0000087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5C2a Incineración abierta de desechos domésticos</w:t>
            </w:r>
          </w:p>
        </w:tc>
      </w:tr>
      <w:tr>
        <w:trPr>
          <w:cantSplit w:val="0"/>
          <w:tblHeader w:val="0"/>
        </w:trPr>
        <w:tc>
          <w:tcPr>
            <w:vMerge w:val="continue"/>
            <w:shd w:fill="auto" w:val="clear"/>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auto" w:val="clear"/>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auto" w:val="clear"/>
          </w:tcPr>
          <w:p w:rsidR="00000000" w:rsidDel="00000000" w:rsidP="00000000" w:rsidRDefault="00000000" w:rsidRPr="00000000" w14:paraId="0000087E">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5D2 Tratamiento y eliminación de aguas residuales industriales</w:t>
            </w:r>
          </w:p>
        </w:tc>
      </w:tr>
      <w:tr>
        <w:trPr>
          <w:cantSplit w:val="0"/>
          <w:tblHeader w:val="0"/>
        </w:trPr>
        <w:tc>
          <w:tcPr>
            <w:shd w:fill="auto" w:val="clear"/>
          </w:tcPr>
          <w:p w:rsidR="00000000" w:rsidDel="00000000" w:rsidP="00000000" w:rsidRDefault="00000000" w:rsidRPr="00000000" w14:paraId="0000088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 Fuentes naturales</w:t>
            </w:r>
          </w:p>
        </w:tc>
        <w:tc>
          <w:tcPr>
            <w:gridSpan w:val="3"/>
            <w:shd w:fill="auto" w:val="clear"/>
          </w:tcPr>
          <w:p w:rsidR="00000000" w:rsidDel="00000000" w:rsidP="00000000" w:rsidRDefault="00000000" w:rsidRPr="00000000" w14:paraId="00000881">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11B Incendios forestales</w:t>
            </w:r>
          </w:p>
        </w:tc>
      </w:tr>
    </w:tbl>
    <w:p w:rsidR="00000000" w:rsidDel="00000000" w:rsidP="00000000" w:rsidRDefault="00000000" w:rsidRPr="00000000" w14:paraId="000008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Fuente: Elaboración propia a partir de los lineamientos EMEP/EEA (2019)</w:t>
      </w:r>
    </w:p>
    <w:p w:rsidR="00000000" w:rsidDel="00000000" w:rsidP="00000000" w:rsidRDefault="00000000" w:rsidRPr="00000000" w14:paraId="000008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6">
      <w:pPr>
        <w:keepNext w:val="1"/>
        <w:keepLines w:val="1"/>
        <w:spacing w:before="240" w:lineRule="auto"/>
        <w:ind w:left="720" w:hanging="360"/>
        <w:rPr>
          <w:rFonts w:ascii="Arial" w:cs="Arial" w:eastAsia="Arial" w:hAnsi="Arial"/>
          <w:color w:val="2f5496"/>
          <w:sz w:val="28"/>
          <w:szCs w:val="28"/>
        </w:rPr>
      </w:pPr>
      <w:bookmarkStart w:colFirst="0" w:colLast="0" w:name="_heading=h.279ka65" w:id="76"/>
      <w:bookmarkEnd w:id="76"/>
      <w:r w:rsidDel="00000000" w:rsidR="00000000" w:rsidRPr="00000000">
        <w:rPr>
          <w:rFonts w:ascii="Arial" w:cs="Arial" w:eastAsia="Arial" w:hAnsi="Arial"/>
          <w:color w:val="2f5496"/>
          <w:sz w:val="28"/>
          <w:szCs w:val="28"/>
          <w:rtl w:val="0"/>
        </w:rPr>
        <w:t xml:space="preserve">Bibliografía</w:t>
      </w:r>
    </w:p>
    <w:p w:rsidR="00000000" w:rsidDel="00000000" w:rsidP="00000000" w:rsidRDefault="00000000" w:rsidRPr="00000000" w14:paraId="0000088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IDEAM, Fundación Natura, PNUD, MADS, DNP, CANCILLERÍA. 2021. Tercer Informe Bienal de Actualización de Colombia a la Convención Marco de las Naciones Unidas para el Cambio Climático (CMNUCC). IDEAM, Fundación Natura, PNUD, MADS, DNP, CANCILLERÍA, FMAM. Bogotá D.C., Colombia.</w:t>
      </w:r>
    </w:p>
    <w:p w:rsidR="00000000" w:rsidDel="00000000" w:rsidP="00000000" w:rsidRDefault="00000000" w:rsidRPr="00000000" w14:paraId="0000088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IPCC. 2006. 2006 IPCC Guidelines for National Greenhouse Gas Inventories, Prepared by the National Greenhouse Gas Inventories Programme, Eggleston H.S., Buendia L., Miwa K., Ngara T. y Tanabe K. (eds). Publicado por: IGES, Japón.</w:t>
      </w:r>
    </w:p>
    <w:p w:rsidR="00000000" w:rsidDel="00000000" w:rsidP="00000000" w:rsidRDefault="00000000" w:rsidRPr="00000000" w14:paraId="0000088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EMEP/EEA. 2019. EMEP/EEA air pollutant emission inventory guidebook 2019 - Technical guidance to prepare national emission inventories. European Environment Agency. Luxembourg: Publications Office of the European Union.</w:t>
      </w:r>
    </w:p>
    <w:p w:rsidR="00000000" w:rsidDel="00000000" w:rsidP="00000000" w:rsidRDefault="00000000" w:rsidRPr="00000000" w14:paraId="0000088C">
      <w:pPr>
        <w:jc w:val="both"/>
        <w:rPr>
          <w:rFonts w:ascii="Arial" w:cs="Arial" w:eastAsia="Arial" w:hAnsi="Arial"/>
          <w:sz w:val="22"/>
          <w:szCs w:val="22"/>
        </w:rPr>
      </w:pPr>
      <w:r w:rsidDel="00000000" w:rsidR="00000000" w:rsidRPr="00000000">
        <w:rPr>
          <w:rtl w:val="0"/>
        </w:rPr>
      </w:r>
    </w:p>
    <w:sectPr>
      <w:type w:val="nextPage"/>
      <w:pgSz w:h="15840" w:w="12240" w:orient="portrait"/>
      <w:pgMar w:bottom="1418" w:top="1418"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Decisión 17/CP.8. Directrices para la preparación de las comunicaciones nacionales de las partes no incluidas en el anexo I de la CMNUCC y Decisión 2/CP.17 – anexo III. Directrices de la CMNUCC sobre la actualización Bienal de las partes no incluidas en el anexo I.</w:t>
      </w:r>
      <w:r w:rsidDel="00000000" w:rsidR="00000000" w:rsidRPr="00000000">
        <w:rPr>
          <w:rtl w:val="0"/>
        </w:rPr>
      </w:r>
    </w:p>
  </w:footnote>
  <w:footnote w:id="1">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FCCC/SBSTA/2006/9. Directrices actualizadas de la Convención Marco para la presentación de informes sobre los inventarios anuales, tras la incorporación prevista en la decisión 14/CP.11 y Decisión 24/CP.19. Revisión de las directrices de la Convención Marco para la presentación de informes sobre los inventarios anuales de las Partes incluidas en el anexo I de la Convención.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547076" cy="798556"/>
          <wp:effectExtent b="0" l="0" r="0" t="0"/>
          <wp:docPr id="16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547076" cy="79855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3"/>
      <w:numFmt w:val="decimal"/>
      <w:lvlText w:val="%1."/>
      <w:lvlJc w:val="left"/>
      <w:pPr>
        <w:ind w:left="400" w:hanging="40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4"/>
      <w:numFmt w:val="decimal"/>
      <w:lvlText w:val="%1."/>
      <w:lvlJc w:val="left"/>
      <w:pPr>
        <w:ind w:left="400" w:hanging="40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9">
    <w:lvl w:ilvl="0">
      <w:start w:val="5"/>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2"/>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6">
    <w:lvl w:ilvl="0">
      <w:start w:val="3"/>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4"/>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9">
    <w:lvl w:ilvl="0">
      <w:start w:val="1"/>
      <w:numFmt w:val="decimal"/>
      <w:lvlText w:val="%1."/>
      <w:lvlJc w:val="left"/>
      <w:pPr>
        <w:ind w:left="720" w:hanging="360"/>
      </w:pPr>
      <w:rPr/>
    </w:lvl>
    <w:lvl w:ilvl="1">
      <w:start w:val="2"/>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0">
    <w:lvl w:ilvl="0">
      <w:start w:val="1"/>
      <w:numFmt w:val="decimal"/>
      <w:lvlText w:val="%1."/>
      <w:lvlJc w:val="left"/>
      <w:pPr>
        <w:ind w:left="720" w:hanging="360"/>
      </w:pPr>
      <w:rPr/>
    </w:lvl>
    <w:lvl w:ilvl="1">
      <w:start w:val="1"/>
      <w:numFmt w:val="decimal"/>
      <w:lvlText w:val="%1.%2."/>
      <w:lvlJc w:val="left"/>
      <w:pPr>
        <w:ind w:left="1080" w:hanging="720"/>
      </w:pPr>
      <w:rPr>
        <w:rFonts w:ascii="Arial" w:cs="Arial" w:eastAsia="Arial" w:hAnsi="Arial"/>
        <w:sz w:val="20"/>
        <w:szCs w:val="2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31">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C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ind w:left="720" w:hanging="360"/>
    </w:pPr>
    <w:rPr>
      <w:rFonts w:ascii="Arial" w:cs="Arial" w:eastAsia="Arial" w:hAnsi="Arial"/>
      <w:color w:val="2f5496"/>
      <w:sz w:val="28"/>
      <w:szCs w:val="28"/>
    </w:rPr>
  </w:style>
  <w:style w:type="paragraph" w:styleId="Heading2">
    <w:name w:val="heading 2"/>
    <w:basedOn w:val="Normal"/>
    <w:next w:val="Normal"/>
    <w:pPr>
      <w:keepNext w:val="1"/>
      <w:keepLines w:val="1"/>
      <w:spacing w:before="40" w:lineRule="auto"/>
    </w:pPr>
    <w:rPr>
      <w:rFonts w:ascii="Arial" w:cs="Arial" w:eastAsia="Arial" w:hAnsi="Arial"/>
      <w:color w:val="2f5496"/>
    </w:rPr>
  </w:style>
  <w:style w:type="paragraph" w:styleId="Heading3">
    <w:name w:val="heading 3"/>
    <w:basedOn w:val="Normal"/>
    <w:next w:val="Normal"/>
    <w:pPr>
      <w:keepNext w:val="1"/>
      <w:keepLines w:val="1"/>
      <w:spacing w:before="40" w:lineRule="auto"/>
    </w:pPr>
    <w:rPr>
      <w:rFonts w:ascii="Arial" w:cs="Arial" w:eastAsia="Arial" w:hAnsi="Arial"/>
      <w:b w:val="1"/>
      <w:color w:val="1f3863"/>
      <w:sz w:val="22"/>
      <w:szCs w:val="22"/>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613D5"/>
    <w:rPr>
      <w:lang w:eastAsia="es-ES"/>
    </w:rPr>
  </w:style>
  <w:style w:type="paragraph" w:styleId="Ttulo1">
    <w:name w:val="heading 1"/>
    <w:basedOn w:val="Normal"/>
    <w:next w:val="Normal"/>
    <w:link w:val="Ttulo1Car"/>
    <w:uiPriority w:val="9"/>
    <w:qFormat w:val="1"/>
    <w:rsid w:val="000401E6"/>
    <w:pPr>
      <w:keepNext w:val="1"/>
      <w:keepLines w:val="1"/>
      <w:numPr>
        <w:numId w:val="50"/>
      </w:numPr>
      <w:spacing w:before="240"/>
      <w:outlineLvl w:val="0"/>
    </w:pPr>
    <w:rPr>
      <w:rFonts w:ascii="Arial" w:hAnsi="Arial" w:cstheme="majorBidi" w:eastAsiaTheme="majorEastAsia"/>
      <w:color w:val="2f5496" w:themeColor="accent1" w:themeShade="0000BF"/>
      <w:sz w:val="28"/>
      <w:szCs w:val="32"/>
    </w:rPr>
  </w:style>
  <w:style w:type="paragraph" w:styleId="Ttulo2">
    <w:name w:val="heading 2"/>
    <w:basedOn w:val="Normal"/>
    <w:next w:val="Normal"/>
    <w:link w:val="Ttulo2Car"/>
    <w:uiPriority w:val="9"/>
    <w:unhideWhenUsed w:val="1"/>
    <w:qFormat w:val="1"/>
    <w:rsid w:val="000401E6"/>
    <w:pPr>
      <w:keepNext w:val="1"/>
      <w:keepLines w:val="1"/>
      <w:spacing w:before="40"/>
      <w:outlineLvl w:val="1"/>
    </w:pPr>
    <w:rPr>
      <w:rFonts w:ascii="Arial" w:hAnsi="Arial" w:cstheme="majorBidi" w:eastAsiaTheme="majorEastAsia"/>
      <w:color w:val="2f5496" w:themeColor="accent1" w:themeShade="0000BF"/>
      <w:szCs w:val="26"/>
    </w:rPr>
  </w:style>
  <w:style w:type="paragraph" w:styleId="Ttulo3">
    <w:name w:val="heading 3"/>
    <w:basedOn w:val="Normal"/>
    <w:next w:val="Normal"/>
    <w:link w:val="Ttulo3Car"/>
    <w:unhideWhenUsed w:val="1"/>
    <w:qFormat w:val="1"/>
    <w:rsid w:val="00B062B6"/>
    <w:pPr>
      <w:keepNext w:val="1"/>
      <w:keepLines w:val="1"/>
      <w:spacing w:before="40"/>
      <w:outlineLvl w:val="2"/>
    </w:pPr>
    <w:rPr>
      <w:rFonts w:ascii="Arial" w:hAnsi="Arial" w:cstheme="majorBidi" w:eastAsiaTheme="majorEastAsia"/>
      <w:b w:val="1"/>
      <w:color w:val="1f3763" w:themeColor="accent1" w:themeShade="00007F"/>
      <w:sz w:val="22"/>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F85539"/>
    <w:rPr>
      <w:rFonts w:ascii="Arial" w:hAnsi="Arial" w:cstheme="majorBidi" w:eastAsiaTheme="majorEastAsia"/>
      <w:color w:val="2f5496" w:themeColor="accent1" w:themeShade="0000BF"/>
      <w:sz w:val="28"/>
      <w:szCs w:val="32"/>
      <w:lang w:eastAsia="es-ES"/>
    </w:rPr>
  </w:style>
  <w:style w:type="character" w:styleId="Ttulo2Car" w:customStyle="1">
    <w:name w:val="Título 2 Car"/>
    <w:basedOn w:val="Fuentedeprrafopredeter"/>
    <w:link w:val="Ttulo2"/>
    <w:uiPriority w:val="9"/>
    <w:rsid w:val="007A671D"/>
    <w:rPr>
      <w:rFonts w:ascii="Arial" w:hAnsi="Arial" w:cstheme="majorBidi" w:eastAsiaTheme="majorEastAsia"/>
      <w:color w:val="2f5496" w:themeColor="accent1" w:themeShade="0000BF"/>
      <w:szCs w:val="26"/>
      <w:lang w:eastAsia="es-ES"/>
    </w:rPr>
  </w:style>
  <w:style w:type="character" w:styleId="Ttulo3Car" w:customStyle="1">
    <w:name w:val="Título 3 Car"/>
    <w:basedOn w:val="Fuentedeprrafopredeter"/>
    <w:link w:val="Ttulo3"/>
    <w:uiPriority w:val="9"/>
    <w:rsid w:val="00B062B6"/>
    <w:rPr>
      <w:rFonts w:ascii="Arial" w:hAnsi="Arial" w:cstheme="majorBidi" w:eastAsiaTheme="majorEastAsia"/>
      <w:b w:val="1"/>
      <w:color w:val="1f3763" w:themeColor="accent1" w:themeShade="00007F"/>
      <w:szCs w:val="24"/>
      <w:lang w:eastAsia="es-ES" w:val="es-CO"/>
    </w:rPr>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link w:val="EncabezadoCar"/>
    <w:uiPriority w:val="99"/>
    <w:unhideWhenUsed w:val="1"/>
    <w:rsid w:val="00B72424"/>
    <w:pPr>
      <w:tabs>
        <w:tab w:val="center" w:pos="4419"/>
        <w:tab w:val="right" w:pos="8838"/>
      </w:tabs>
    </w:pPr>
  </w:style>
  <w:style w:type="character" w:styleId="EncabezadoCar" w:customStyle="1">
    <w:name w:val="Encabezado Car"/>
    <w:basedOn w:val="Fuentedeprrafopredeter"/>
    <w:link w:val="Encabezado"/>
    <w:uiPriority w:val="99"/>
    <w:rsid w:val="00B72424"/>
    <w:rPr>
      <w:rFonts w:ascii="Times New Roman" w:cs="Times New Roman" w:eastAsia="Times New Roman" w:hAnsi="Times New Roman"/>
      <w:sz w:val="24"/>
      <w:szCs w:val="24"/>
      <w:lang w:eastAsia="es-ES" w:val="es-CO"/>
    </w:rPr>
  </w:style>
  <w:style w:type="paragraph" w:styleId="Piedepgina">
    <w:name w:val="footer"/>
    <w:basedOn w:val="Normal"/>
    <w:link w:val="PiedepginaCar"/>
    <w:uiPriority w:val="99"/>
    <w:unhideWhenUsed w:val="1"/>
    <w:rsid w:val="00B72424"/>
    <w:pPr>
      <w:tabs>
        <w:tab w:val="center" w:pos="4419"/>
        <w:tab w:val="right" w:pos="8838"/>
      </w:tabs>
    </w:pPr>
  </w:style>
  <w:style w:type="character" w:styleId="PiedepginaCar" w:customStyle="1">
    <w:name w:val="Pie de página Car"/>
    <w:basedOn w:val="Fuentedeprrafopredeter"/>
    <w:link w:val="Piedepgina"/>
    <w:uiPriority w:val="99"/>
    <w:rsid w:val="00B72424"/>
    <w:rPr>
      <w:rFonts w:ascii="Times New Roman" w:cs="Times New Roman" w:eastAsia="Times New Roman" w:hAnsi="Times New Roman"/>
      <w:sz w:val="24"/>
      <w:szCs w:val="24"/>
      <w:lang w:eastAsia="es-ES" w:val="es-CO"/>
    </w:rPr>
  </w:style>
  <w:style w:type="paragraph" w:styleId="NormalWeb">
    <w:name w:val="Normal (Web)"/>
    <w:basedOn w:val="Normal"/>
    <w:rsid w:val="00B72424"/>
    <w:pPr>
      <w:spacing w:after="100" w:before="100"/>
    </w:pPr>
    <w:rPr>
      <w:rFonts w:ascii="Arial Unicode MS" w:eastAsia="Arial Unicode MS" w:hAnsi="Arial Unicode MS"/>
      <w:color w:val="000000"/>
      <w:lang w:val="es-ES"/>
    </w:rPr>
  </w:style>
  <w:style w:type="paragraph" w:styleId="Subttulo">
    <w:name w:val="Subtitle"/>
    <w:basedOn w:val="Normal"/>
    <w:next w:val="Normal"/>
    <w:link w:val="SubttuloCar"/>
    <w:pPr>
      <w:spacing w:after="160"/>
    </w:pPr>
    <w:rPr>
      <w:rFonts w:ascii="Arial" w:cs="Arial" w:eastAsia="Arial" w:hAnsi="Arial"/>
      <w:b w:val="1"/>
      <w:sz w:val="22"/>
      <w:szCs w:val="22"/>
    </w:rPr>
  </w:style>
  <w:style w:type="character" w:styleId="SubttuloCar" w:customStyle="1">
    <w:name w:val="Subtítulo Car"/>
    <w:basedOn w:val="Fuentedeprrafopredeter"/>
    <w:link w:val="Subttulo"/>
    <w:uiPriority w:val="11"/>
    <w:rsid w:val="00F85539"/>
    <w:rPr>
      <w:rFonts w:ascii="Arial" w:hAnsi="Arial" w:eastAsiaTheme="minorEastAsia"/>
      <w:b w:val="1"/>
      <w:spacing w:val="15"/>
      <w:lang w:eastAsia="es-ES" w:val="es-CO"/>
    </w:rPr>
  </w:style>
  <w:style w:type="character" w:styleId="Textoennegrita">
    <w:name w:val="Strong"/>
    <w:basedOn w:val="Fuentedeprrafopredeter"/>
    <w:uiPriority w:val="22"/>
    <w:qFormat w:val="1"/>
    <w:rsid w:val="003A21F0"/>
    <w:rPr>
      <w:b w:val="1"/>
      <w:bCs w:val="1"/>
    </w:rPr>
  </w:style>
  <w:style w:type="paragraph" w:styleId="TtuloTDC">
    <w:name w:val="TOC Heading"/>
    <w:basedOn w:val="Ttulo1"/>
    <w:next w:val="Normal"/>
    <w:uiPriority w:val="39"/>
    <w:unhideWhenUsed w:val="1"/>
    <w:qFormat w:val="1"/>
    <w:rsid w:val="00B062B6"/>
    <w:pPr>
      <w:spacing w:line="259" w:lineRule="auto"/>
      <w:outlineLvl w:val="9"/>
    </w:pPr>
    <w:rPr>
      <w:rFonts w:asciiTheme="majorHAnsi" w:hAnsiTheme="majorHAnsi"/>
      <w:sz w:val="32"/>
      <w:lang w:eastAsia="en-US" w:val="en-US"/>
    </w:rPr>
  </w:style>
  <w:style w:type="paragraph" w:styleId="TDC1">
    <w:name w:val="toc 1"/>
    <w:basedOn w:val="Normal"/>
    <w:next w:val="Normal"/>
    <w:autoRedefine w:val="1"/>
    <w:uiPriority w:val="39"/>
    <w:unhideWhenUsed w:val="1"/>
    <w:rsid w:val="00B062B6"/>
    <w:pPr>
      <w:spacing w:after="100"/>
    </w:pPr>
  </w:style>
  <w:style w:type="paragraph" w:styleId="TDC2">
    <w:name w:val="toc 2"/>
    <w:basedOn w:val="Normal"/>
    <w:next w:val="Normal"/>
    <w:autoRedefine w:val="1"/>
    <w:uiPriority w:val="39"/>
    <w:unhideWhenUsed w:val="1"/>
    <w:rsid w:val="00B062B6"/>
    <w:pPr>
      <w:spacing w:after="100"/>
      <w:ind w:left="240"/>
    </w:pPr>
  </w:style>
  <w:style w:type="character" w:styleId="Hipervnculo">
    <w:name w:val="Hyperlink"/>
    <w:basedOn w:val="Fuentedeprrafopredeter"/>
    <w:uiPriority w:val="99"/>
    <w:unhideWhenUsed w:val="1"/>
    <w:rsid w:val="00B062B6"/>
    <w:rPr>
      <w:color w:val="0563c1" w:themeColor="hyperlink"/>
      <w:u w:val="single"/>
    </w:rPr>
  </w:style>
  <w:style w:type="paragraph" w:styleId="TDC3">
    <w:name w:val="toc 3"/>
    <w:basedOn w:val="Normal"/>
    <w:next w:val="Normal"/>
    <w:autoRedefine w:val="1"/>
    <w:uiPriority w:val="39"/>
    <w:unhideWhenUsed w:val="1"/>
    <w:rsid w:val="00803B77"/>
    <w:pPr>
      <w:spacing w:after="100"/>
      <w:ind w:left="480"/>
    </w:pPr>
  </w:style>
  <w:style w:type="table" w:styleId="Tablaconcuadrcula">
    <w:name w:val="Table Grid"/>
    <w:basedOn w:val="Tablanormal"/>
    <w:uiPriority w:val="39"/>
    <w:rsid w:val="0066691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3D28E5"/>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D28E5"/>
    <w:rPr>
      <w:rFonts w:ascii="Segoe UI" w:cs="Segoe UI" w:eastAsia="Times New Roman" w:hAnsi="Segoe UI"/>
      <w:sz w:val="18"/>
      <w:szCs w:val="18"/>
      <w:lang w:eastAsia="es-ES" w:val="es-CO"/>
    </w:rPr>
  </w:style>
  <w:style w:type="paragraph" w:styleId="Prrafodelista">
    <w:name w:val="List Paragraph"/>
    <w:basedOn w:val="Normal"/>
    <w:uiPriority w:val="34"/>
    <w:qFormat w:val="1"/>
    <w:rsid w:val="00AC00C2"/>
    <w:pPr>
      <w:ind w:left="720"/>
      <w:contextualSpacing w:val="1"/>
    </w:pPr>
  </w:style>
  <w:style w:type="character" w:styleId="Refdecomentario">
    <w:name w:val="annotation reference"/>
    <w:basedOn w:val="Fuentedeprrafopredeter"/>
    <w:uiPriority w:val="99"/>
    <w:semiHidden w:val="1"/>
    <w:unhideWhenUsed w:val="1"/>
    <w:rsid w:val="00846462"/>
    <w:rPr>
      <w:sz w:val="16"/>
      <w:szCs w:val="16"/>
    </w:rPr>
  </w:style>
  <w:style w:type="paragraph" w:styleId="Textocomentario">
    <w:name w:val="annotation text"/>
    <w:basedOn w:val="Normal"/>
    <w:link w:val="TextocomentarioCar"/>
    <w:unhideWhenUsed w:val="1"/>
    <w:rsid w:val="00846462"/>
    <w:rPr>
      <w:sz w:val="20"/>
      <w:szCs w:val="20"/>
    </w:rPr>
  </w:style>
  <w:style w:type="character" w:styleId="TextocomentarioCar" w:customStyle="1">
    <w:name w:val="Texto comentario Car"/>
    <w:basedOn w:val="Fuentedeprrafopredeter"/>
    <w:link w:val="Textocomentario"/>
    <w:rsid w:val="00846462"/>
    <w:rPr>
      <w:rFonts w:ascii="Times New Roman" w:cs="Times New Roman" w:eastAsia="Times New Roman" w:hAnsi="Times New Roman"/>
      <w:sz w:val="20"/>
      <w:szCs w:val="20"/>
      <w:lang w:eastAsia="es-ES" w:val="es-CO"/>
    </w:rPr>
  </w:style>
  <w:style w:type="paragraph" w:styleId="Asuntodelcomentario">
    <w:name w:val="annotation subject"/>
    <w:basedOn w:val="Textocomentario"/>
    <w:next w:val="Textocomentario"/>
    <w:link w:val="AsuntodelcomentarioCar"/>
    <w:uiPriority w:val="99"/>
    <w:semiHidden w:val="1"/>
    <w:unhideWhenUsed w:val="1"/>
    <w:rsid w:val="00846462"/>
    <w:rPr>
      <w:b w:val="1"/>
      <w:bCs w:val="1"/>
    </w:rPr>
  </w:style>
  <w:style w:type="character" w:styleId="AsuntodelcomentarioCar" w:customStyle="1">
    <w:name w:val="Asunto del comentario Car"/>
    <w:basedOn w:val="TextocomentarioCar"/>
    <w:link w:val="Asuntodelcomentario"/>
    <w:uiPriority w:val="99"/>
    <w:semiHidden w:val="1"/>
    <w:rsid w:val="00846462"/>
    <w:rPr>
      <w:rFonts w:ascii="Times New Roman" w:cs="Times New Roman" w:eastAsia="Times New Roman" w:hAnsi="Times New Roman"/>
      <w:b w:val="1"/>
      <w:bCs w:val="1"/>
      <w:sz w:val="20"/>
      <w:szCs w:val="20"/>
      <w:lang w:eastAsia="es-ES" w:val="es-CO"/>
    </w:rPr>
  </w:style>
  <w:style w:type="paragraph" w:styleId="Descripcin">
    <w:name w:val="caption"/>
    <w:basedOn w:val="Normal"/>
    <w:next w:val="Normal"/>
    <w:uiPriority w:val="35"/>
    <w:unhideWhenUsed w:val="1"/>
    <w:qFormat w:val="1"/>
    <w:rsid w:val="00EC22C4"/>
    <w:pPr>
      <w:spacing w:after="200"/>
    </w:pPr>
    <w:rPr>
      <w:i w:val="1"/>
      <w:iCs w:val="1"/>
      <w:color w:val="44546a" w:themeColor="text2"/>
      <w:sz w:val="18"/>
      <w:szCs w:val="18"/>
    </w:rPr>
  </w:style>
  <w:style w:type="paragraph" w:styleId="Default" w:customStyle="1">
    <w:name w:val="Default"/>
    <w:rsid w:val="00691EDB"/>
    <w:pPr>
      <w:autoSpaceDE w:val="0"/>
      <w:autoSpaceDN w:val="0"/>
      <w:adjustRightInd w:val="0"/>
    </w:pPr>
    <w:rPr>
      <w:rFonts w:ascii="Wingdings" w:cs="Wingdings" w:hAnsi="Wingdings"/>
      <w:color w:val="000000"/>
    </w:rPr>
  </w:style>
  <w:style w:type="table" w:styleId="14" w:customStyle="1">
    <w:name w:val="14"/>
    <w:basedOn w:val="TableNormal"/>
    <w:tblPr>
      <w:tblStyleRowBandSize w:val="1"/>
      <w:tblStyleColBandSize w:val="1"/>
      <w:tblCellMar>
        <w:left w:w="108.0" w:type="dxa"/>
        <w:right w:w="108.0" w:type="dxa"/>
      </w:tblCellMar>
    </w:tblPr>
  </w:style>
  <w:style w:type="table" w:styleId="13" w:customStyle="1">
    <w:name w:val="13"/>
    <w:basedOn w:val="TableNormal"/>
    <w:tblPr>
      <w:tblStyleRowBandSize w:val="1"/>
      <w:tblStyleColBandSize w:val="1"/>
      <w:tblCellMar>
        <w:left w:w="108.0" w:type="dxa"/>
        <w:right w:w="108.0" w:type="dxa"/>
      </w:tblCellMar>
    </w:tblPr>
  </w:style>
  <w:style w:type="table" w:styleId="12" w:customStyle="1">
    <w:name w:val="12"/>
    <w:basedOn w:val="TableNormal"/>
    <w:tblPr>
      <w:tblStyleRowBandSize w:val="1"/>
      <w:tblStyleColBandSize w:val="1"/>
      <w:tblCellMar>
        <w:left w:w="70.0" w:type="dxa"/>
        <w:right w:w="70.0" w:type="dxa"/>
      </w:tblCellMar>
    </w:tblPr>
  </w:style>
  <w:style w:type="table" w:styleId="11" w:customStyle="1">
    <w:name w:val="11"/>
    <w:basedOn w:val="TableNormal"/>
    <w:tblPr>
      <w:tblStyleRowBandSize w:val="1"/>
      <w:tblStyleColBandSize w:val="1"/>
      <w:tblCellMar>
        <w:left w:w="70.0" w:type="dxa"/>
        <w:right w:w="70.0" w:type="dxa"/>
      </w:tblCellMar>
    </w:tblPr>
  </w:style>
  <w:style w:type="table" w:styleId="10" w:customStyle="1">
    <w:name w:val="10"/>
    <w:basedOn w:val="TableNormal"/>
    <w:tblPr>
      <w:tblStyleRowBandSize w:val="1"/>
      <w:tblStyleColBandSize w:val="1"/>
      <w:tblCellMar>
        <w:left w:w="70.0" w:type="dxa"/>
        <w:right w:w="70.0" w:type="dxa"/>
      </w:tblCellMar>
    </w:tblPr>
  </w:style>
  <w:style w:type="table" w:styleId="9" w:customStyle="1">
    <w:name w:val="9"/>
    <w:basedOn w:val="TableNormal"/>
    <w:tblPr>
      <w:tblStyleRowBandSize w:val="1"/>
      <w:tblStyleColBandSize w:val="1"/>
      <w:tblCellMar>
        <w:left w:w="70.0" w:type="dxa"/>
        <w:right w:w="70.0" w:type="dxa"/>
      </w:tblCellMar>
    </w:tblPr>
  </w:style>
  <w:style w:type="table" w:styleId="8" w:customStyle="1">
    <w:name w:val="8"/>
    <w:basedOn w:val="TableNormal"/>
    <w:tblPr>
      <w:tblStyleRowBandSize w:val="1"/>
      <w:tblStyleColBandSize w:val="1"/>
      <w:tblCellMar>
        <w:left w:w="70.0" w:type="dxa"/>
        <w:right w:w="70.0" w:type="dxa"/>
      </w:tblCellMar>
    </w:tblPr>
  </w:style>
  <w:style w:type="table" w:styleId="7" w:customStyle="1">
    <w:name w:val="7"/>
    <w:basedOn w:val="TableNormal"/>
    <w:tblPr>
      <w:tblStyleRowBandSize w:val="1"/>
      <w:tblStyleColBandSize w:val="1"/>
      <w:tblCellMar>
        <w:left w:w="108.0" w:type="dxa"/>
        <w:right w:w="108.0" w:type="dxa"/>
      </w:tblCellMar>
    </w:tblPr>
  </w:style>
  <w:style w:type="table" w:styleId="6" w:customStyle="1">
    <w:name w:val="6"/>
    <w:basedOn w:val="TableNormal"/>
    <w:tblPr>
      <w:tblStyleRowBandSize w:val="1"/>
      <w:tblStyleColBandSize w:val="1"/>
      <w:tblCellMar>
        <w:left w:w="108.0" w:type="dxa"/>
        <w:right w:w="108.0" w:type="dxa"/>
      </w:tblCellMar>
    </w:tblPr>
  </w:style>
  <w:style w:type="table" w:styleId="5" w:customStyle="1">
    <w:name w:val="5"/>
    <w:basedOn w:val="TableNormal"/>
    <w:tblPr>
      <w:tblStyleRowBandSize w:val="1"/>
      <w:tblStyleColBandSize w:val="1"/>
      <w:tblCellMar>
        <w:left w:w="108.0" w:type="dxa"/>
        <w:right w:w="108.0" w:type="dxa"/>
      </w:tblCellMar>
    </w:tblPr>
  </w:style>
  <w:style w:type="table" w:styleId="4" w:customStyle="1">
    <w:name w:val="4"/>
    <w:basedOn w:val="TableNormal"/>
    <w:tblPr>
      <w:tblStyleRowBandSize w:val="1"/>
      <w:tblStyleColBandSize w:val="1"/>
      <w:tblCellMar>
        <w:left w:w="108.0" w:type="dxa"/>
        <w:right w:w="108.0" w:type="dxa"/>
      </w:tblCellMar>
    </w:tblPr>
  </w:style>
  <w:style w:type="table" w:styleId="3" w:customStyle="1">
    <w:name w:val="3"/>
    <w:basedOn w:val="TableNormal"/>
    <w:tblPr>
      <w:tblStyleRowBandSize w:val="1"/>
      <w:tblStyleColBandSize w:val="1"/>
      <w:tblCellMar>
        <w:left w:w="108.0" w:type="dxa"/>
        <w:right w:w="108.0" w:type="dxa"/>
      </w:tblCellMar>
    </w:tblPr>
  </w:style>
  <w:style w:type="table" w:styleId="2" w:customStyle="1">
    <w:name w:val="2"/>
    <w:basedOn w:val="TableNormal"/>
    <w:tblPr>
      <w:tblStyleRowBandSize w:val="1"/>
      <w:tblStyleColBandSize w:val="1"/>
      <w:tblCellMar>
        <w:left w:w="108.0" w:type="dxa"/>
        <w:right w:w="108.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TDC4">
    <w:name w:val="toc 4"/>
    <w:basedOn w:val="Normal"/>
    <w:next w:val="Normal"/>
    <w:autoRedefine w:val="1"/>
    <w:uiPriority w:val="39"/>
    <w:unhideWhenUsed w:val="1"/>
    <w:rsid w:val="00F54D56"/>
    <w:pPr>
      <w:spacing w:after="100" w:line="259" w:lineRule="auto"/>
      <w:ind w:left="660"/>
    </w:pPr>
    <w:rPr>
      <w:rFonts w:asciiTheme="minorHAnsi" w:cstheme="minorBidi" w:eastAsiaTheme="minorEastAsia" w:hAnsiTheme="minorHAnsi"/>
      <w:sz w:val="22"/>
      <w:szCs w:val="22"/>
      <w:lang w:eastAsia="en-US" w:val="en-US"/>
    </w:rPr>
  </w:style>
  <w:style w:type="paragraph" w:styleId="TDC5">
    <w:name w:val="toc 5"/>
    <w:basedOn w:val="Normal"/>
    <w:next w:val="Normal"/>
    <w:autoRedefine w:val="1"/>
    <w:uiPriority w:val="39"/>
    <w:unhideWhenUsed w:val="1"/>
    <w:rsid w:val="00F54D56"/>
    <w:pPr>
      <w:spacing w:after="100" w:line="259" w:lineRule="auto"/>
      <w:ind w:left="880"/>
    </w:pPr>
    <w:rPr>
      <w:rFonts w:asciiTheme="minorHAnsi" w:cstheme="minorBidi" w:eastAsiaTheme="minorEastAsia" w:hAnsiTheme="minorHAnsi"/>
      <w:sz w:val="22"/>
      <w:szCs w:val="22"/>
      <w:lang w:eastAsia="en-US" w:val="en-US"/>
    </w:rPr>
  </w:style>
  <w:style w:type="paragraph" w:styleId="TDC6">
    <w:name w:val="toc 6"/>
    <w:basedOn w:val="Normal"/>
    <w:next w:val="Normal"/>
    <w:autoRedefine w:val="1"/>
    <w:uiPriority w:val="39"/>
    <w:unhideWhenUsed w:val="1"/>
    <w:rsid w:val="00F54D56"/>
    <w:pPr>
      <w:spacing w:after="100" w:line="259" w:lineRule="auto"/>
      <w:ind w:left="1100"/>
    </w:pPr>
    <w:rPr>
      <w:rFonts w:asciiTheme="minorHAnsi" w:cstheme="minorBidi" w:eastAsiaTheme="minorEastAsia" w:hAnsiTheme="minorHAnsi"/>
      <w:sz w:val="22"/>
      <w:szCs w:val="22"/>
      <w:lang w:eastAsia="en-US" w:val="en-US"/>
    </w:rPr>
  </w:style>
  <w:style w:type="paragraph" w:styleId="TDC7">
    <w:name w:val="toc 7"/>
    <w:basedOn w:val="Normal"/>
    <w:next w:val="Normal"/>
    <w:autoRedefine w:val="1"/>
    <w:uiPriority w:val="39"/>
    <w:unhideWhenUsed w:val="1"/>
    <w:rsid w:val="00F54D56"/>
    <w:pPr>
      <w:spacing w:after="100" w:line="259" w:lineRule="auto"/>
      <w:ind w:left="1320"/>
    </w:pPr>
    <w:rPr>
      <w:rFonts w:asciiTheme="minorHAnsi" w:cstheme="minorBidi" w:eastAsiaTheme="minorEastAsia" w:hAnsiTheme="minorHAnsi"/>
      <w:sz w:val="22"/>
      <w:szCs w:val="22"/>
      <w:lang w:eastAsia="en-US" w:val="en-US"/>
    </w:rPr>
  </w:style>
  <w:style w:type="paragraph" w:styleId="TDC8">
    <w:name w:val="toc 8"/>
    <w:basedOn w:val="Normal"/>
    <w:next w:val="Normal"/>
    <w:autoRedefine w:val="1"/>
    <w:uiPriority w:val="39"/>
    <w:unhideWhenUsed w:val="1"/>
    <w:rsid w:val="00F54D56"/>
    <w:pPr>
      <w:spacing w:after="100" w:line="259" w:lineRule="auto"/>
      <w:ind w:left="1540"/>
    </w:pPr>
    <w:rPr>
      <w:rFonts w:asciiTheme="minorHAnsi" w:cstheme="minorBidi" w:eastAsiaTheme="minorEastAsia" w:hAnsiTheme="minorHAnsi"/>
      <w:sz w:val="22"/>
      <w:szCs w:val="22"/>
      <w:lang w:eastAsia="en-US" w:val="en-US"/>
    </w:rPr>
  </w:style>
  <w:style w:type="paragraph" w:styleId="TDC9">
    <w:name w:val="toc 9"/>
    <w:basedOn w:val="Normal"/>
    <w:next w:val="Normal"/>
    <w:autoRedefine w:val="1"/>
    <w:uiPriority w:val="39"/>
    <w:unhideWhenUsed w:val="1"/>
    <w:rsid w:val="00F54D56"/>
    <w:pPr>
      <w:spacing w:after="100" w:line="259" w:lineRule="auto"/>
      <w:ind w:left="1760"/>
    </w:pPr>
    <w:rPr>
      <w:rFonts w:asciiTheme="minorHAnsi" w:cstheme="minorBidi" w:eastAsiaTheme="minorEastAsia" w:hAnsiTheme="minorHAnsi"/>
      <w:sz w:val="22"/>
      <w:szCs w:val="22"/>
      <w:lang w:eastAsia="en-US" w:val="en-US"/>
    </w:rPr>
  </w:style>
  <w:style w:type="paragraph" w:styleId="Textonotapie">
    <w:name w:val="footnote text"/>
    <w:basedOn w:val="Normal"/>
    <w:link w:val="TextonotapieCar"/>
    <w:uiPriority w:val="99"/>
    <w:semiHidden w:val="1"/>
    <w:unhideWhenUsed w:val="1"/>
    <w:rsid w:val="00C324D0"/>
    <w:rPr>
      <w:sz w:val="20"/>
      <w:szCs w:val="20"/>
    </w:rPr>
  </w:style>
  <w:style w:type="character" w:styleId="TextonotapieCar" w:customStyle="1">
    <w:name w:val="Texto nota pie Car"/>
    <w:basedOn w:val="Fuentedeprrafopredeter"/>
    <w:link w:val="Textonotapie"/>
    <w:uiPriority w:val="99"/>
    <w:semiHidden w:val="1"/>
    <w:rsid w:val="00C324D0"/>
    <w:rPr>
      <w:sz w:val="20"/>
      <w:szCs w:val="20"/>
      <w:lang w:eastAsia="es-ES"/>
    </w:rPr>
  </w:style>
  <w:style w:type="character" w:styleId="Refdenotaalpie">
    <w:name w:val="footnote reference"/>
    <w:basedOn w:val="Fuentedeprrafopredeter"/>
    <w:uiPriority w:val="99"/>
    <w:semiHidden w:val="1"/>
    <w:unhideWhenUsed w:val="1"/>
    <w:rsid w:val="00C324D0"/>
    <w:rPr>
      <w:vertAlign w:val="superscript"/>
    </w:rPr>
  </w:style>
  <w:style w:type="paragraph" w:styleId="Revisin">
    <w:name w:val="Revision"/>
    <w:hidden w:val="1"/>
    <w:uiPriority w:val="99"/>
    <w:semiHidden w:val="1"/>
    <w:rsid w:val="00F178A5"/>
    <w:rPr>
      <w:lang w:eastAsia="es-ES"/>
    </w:rPr>
  </w:style>
  <w:style w:type="paragraph" w:styleId="Subtitle">
    <w:name w:val="Subtitle"/>
    <w:basedOn w:val="Normal"/>
    <w:next w:val="Normal"/>
    <w:pPr>
      <w:spacing w:after="160" w:lineRule="auto"/>
    </w:pPr>
    <w:rPr>
      <w:rFonts w:ascii="Arial" w:cs="Arial" w:eastAsia="Arial" w:hAnsi="Arial"/>
      <w:b w:val="1"/>
      <w:sz w:val="22"/>
      <w:szCs w:val="22"/>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pPDjDm6qYd/8YohCHDGKQVzZSg==">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2022-10-18T21:29:00Z</dcterms:created>
  <dc:creator>sandra mireya fajardo gonzalez</dc:creator>
</cp:coreProperties>
</file>